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DBD" w:rsidRDefault="00AB0DBD">
      <w:pPr>
        <w:spacing w:after="0" w:line="240" w:lineRule="auto"/>
        <w:rPr>
          <w:rFonts w:ascii="Times New Roman" w:hAnsi="Times New Roman"/>
          <w:sz w:val="24"/>
          <w:szCs w:val="24"/>
          <w:u w:val="single"/>
        </w:rPr>
      </w:pPr>
    </w:p>
    <w:p w:rsidR="00AB0DBD" w:rsidRPr="00AB0DBD" w:rsidRDefault="00AB0DBD" w:rsidP="00AB0DBD">
      <w:pPr>
        <w:spacing w:after="0"/>
        <w:rPr>
          <w:rFonts w:ascii="Times New Roman" w:hAnsi="Times New Roman"/>
          <w:sz w:val="24"/>
          <w:szCs w:val="24"/>
          <w:u w:val="single"/>
        </w:rPr>
      </w:pPr>
    </w:p>
    <w:p w:rsidR="000336BE" w:rsidRPr="00F775A0" w:rsidRDefault="000336BE" w:rsidP="00ED18CB">
      <w:pPr>
        <w:spacing w:after="0"/>
        <w:jc w:val="center"/>
        <w:rPr>
          <w:rFonts w:ascii="Times New Roman" w:hAnsi="Times New Roman"/>
          <w:sz w:val="24"/>
          <w:szCs w:val="24"/>
        </w:rPr>
      </w:pPr>
      <w:r>
        <w:rPr>
          <w:rFonts w:ascii="Times New Roman" w:hAnsi="Times New Roman"/>
          <w:sz w:val="24"/>
          <w:szCs w:val="24"/>
          <w:lang w:val="sr-Cyrl-CS"/>
        </w:rPr>
        <w:t xml:space="preserve">ПРЕДЛОГ </w:t>
      </w:r>
      <w:r>
        <w:rPr>
          <w:rFonts w:ascii="Times New Roman" w:hAnsi="Times New Roman"/>
          <w:sz w:val="24"/>
          <w:szCs w:val="24"/>
        </w:rPr>
        <w:t>ЗАКОНА О ДОПУНAMA ЗАКОНА О ОРГАНИЗАЦИЈИ И НАДЛЕЖНОСТИ ДРЖАВНИХ ОРГАНА У ПОСТУПКУ ЗА РАТНЕ ЗЛОЧИНЕ</w:t>
      </w:r>
    </w:p>
    <w:p w:rsidR="000336BE" w:rsidRDefault="000336BE" w:rsidP="00ED18CB">
      <w:pPr>
        <w:spacing w:after="0"/>
        <w:jc w:val="center"/>
        <w:rPr>
          <w:rFonts w:ascii="Times New Roman" w:hAnsi="Times New Roman"/>
          <w:sz w:val="24"/>
          <w:szCs w:val="24"/>
        </w:rPr>
      </w:pPr>
    </w:p>
    <w:p w:rsidR="000336BE" w:rsidRDefault="000336BE" w:rsidP="00ED18CB">
      <w:pPr>
        <w:spacing w:after="0"/>
        <w:jc w:val="center"/>
        <w:rPr>
          <w:rFonts w:ascii="Times New Roman" w:hAnsi="Times New Roman"/>
          <w:sz w:val="24"/>
          <w:szCs w:val="24"/>
        </w:rPr>
      </w:pPr>
      <w:r>
        <w:rPr>
          <w:rFonts w:ascii="Times New Roman" w:hAnsi="Times New Roman"/>
          <w:sz w:val="24"/>
          <w:szCs w:val="24"/>
        </w:rPr>
        <w:t>Члан 1.</w:t>
      </w:r>
    </w:p>
    <w:p w:rsidR="000336BE" w:rsidRDefault="000336BE" w:rsidP="00ED18CB">
      <w:pPr>
        <w:spacing w:after="0"/>
        <w:jc w:val="both"/>
        <w:rPr>
          <w:rFonts w:ascii="Times New Roman" w:hAnsi="Times New Roman"/>
          <w:sz w:val="24"/>
          <w:szCs w:val="24"/>
        </w:rPr>
      </w:pPr>
      <w:r>
        <w:rPr>
          <w:rFonts w:ascii="Times New Roman" w:hAnsi="Times New Roman"/>
          <w:sz w:val="24"/>
          <w:szCs w:val="24"/>
        </w:rPr>
        <w:tab/>
        <w:t>У Закону о организацији и надлежности државних органа у поступку за ратне злочине („Службени гласник РС”, бр. 67/03, 135/04, 61/05, 101/07, 104/09 и 101/11 – др. закон), у члану 5. после става 3. додају се ст. 4. и 5. који гласе:</w:t>
      </w:r>
    </w:p>
    <w:p w:rsidR="000336BE" w:rsidRDefault="000336BE" w:rsidP="00ED18CB">
      <w:pPr>
        <w:spacing w:after="0"/>
        <w:jc w:val="both"/>
        <w:rPr>
          <w:rFonts w:ascii="Times New Roman" w:hAnsi="Times New Roman"/>
          <w:sz w:val="24"/>
          <w:szCs w:val="24"/>
        </w:rPr>
      </w:pPr>
      <w:r>
        <w:rPr>
          <w:rFonts w:ascii="Times New Roman" w:hAnsi="Times New Roman"/>
          <w:sz w:val="24"/>
          <w:szCs w:val="24"/>
        </w:rPr>
        <w:tab/>
        <w:t>„Тужиоцу за ратне злочине функција не престаје навршењем радног века, ако му није истекао мандат на који је изабран за Тужиоца за ратне злочине.</w:t>
      </w:r>
    </w:p>
    <w:p w:rsidR="000336BE" w:rsidRDefault="000336BE" w:rsidP="00B340E7">
      <w:pPr>
        <w:spacing w:after="0"/>
        <w:ind w:firstLine="720"/>
        <w:jc w:val="both"/>
        <w:rPr>
          <w:rFonts w:ascii="Times New Roman" w:hAnsi="Times New Roman"/>
          <w:sz w:val="24"/>
          <w:szCs w:val="24"/>
        </w:rPr>
      </w:pPr>
      <w:r>
        <w:rPr>
          <w:rFonts w:ascii="Times New Roman" w:hAnsi="Times New Roman"/>
          <w:sz w:val="24"/>
          <w:szCs w:val="24"/>
        </w:rPr>
        <w:t>У случају из става 4. овог члана, Тужиоцу за ратне злочине та функција престаје истеком мандата на који је изабран.”</w:t>
      </w:r>
    </w:p>
    <w:p w:rsidR="000336BE" w:rsidRDefault="000336BE" w:rsidP="00ED18CB">
      <w:pPr>
        <w:spacing w:after="0"/>
        <w:jc w:val="both"/>
        <w:rPr>
          <w:rFonts w:ascii="Times New Roman" w:hAnsi="Times New Roman"/>
          <w:sz w:val="24"/>
          <w:szCs w:val="24"/>
        </w:rPr>
      </w:pPr>
    </w:p>
    <w:p w:rsidR="000336BE" w:rsidRDefault="000336BE" w:rsidP="00ED18CB">
      <w:pPr>
        <w:spacing w:after="0"/>
        <w:jc w:val="center"/>
        <w:rPr>
          <w:rFonts w:ascii="Times New Roman" w:hAnsi="Times New Roman"/>
          <w:sz w:val="24"/>
          <w:szCs w:val="24"/>
        </w:rPr>
      </w:pPr>
      <w:r>
        <w:rPr>
          <w:rFonts w:ascii="Times New Roman" w:hAnsi="Times New Roman"/>
          <w:sz w:val="24"/>
          <w:szCs w:val="24"/>
        </w:rPr>
        <w:t>Члан 2.</w:t>
      </w:r>
    </w:p>
    <w:p w:rsidR="000336BE" w:rsidRDefault="000336BE" w:rsidP="00ED18CB">
      <w:pPr>
        <w:spacing w:after="0"/>
        <w:jc w:val="both"/>
        <w:rPr>
          <w:rFonts w:ascii="Times New Roman" w:hAnsi="Times New Roman"/>
          <w:sz w:val="24"/>
          <w:szCs w:val="24"/>
        </w:rPr>
      </w:pPr>
      <w:r>
        <w:rPr>
          <w:rFonts w:ascii="Times New Roman" w:hAnsi="Times New Roman"/>
          <w:sz w:val="24"/>
          <w:szCs w:val="24"/>
        </w:rPr>
        <w:tab/>
        <w:t>Овај закон ступа на снагу наредног дана од дана објављивања у „Службеном гласнику Републике Србије”.</w:t>
      </w:r>
    </w:p>
    <w:p w:rsidR="000336BE" w:rsidRDefault="000336BE" w:rsidP="00ED18CB">
      <w:pPr>
        <w:spacing w:after="0"/>
        <w:jc w:val="center"/>
        <w:rPr>
          <w:rFonts w:ascii="Times New Roman" w:hAnsi="Times New Roman"/>
          <w:sz w:val="24"/>
          <w:szCs w:val="24"/>
        </w:rPr>
      </w:pPr>
    </w:p>
    <w:p w:rsidR="000336BE" w:rsidRDefault="000336BE" w:rsidP="00ED18CB">
      <w:pPr>
        <w:spacing w:after="0"/>
        <w:jc w:val="center"/>
        <w:rPr>
          <w:rFonts w:ascii="Times New Roman" w:hAnsi="Times New Roman"/>
          <w:sz w:val="24"/>
          <w:szCs w:val="24"/>
        </w:rPr>
      </w:pPr>
    </w:p>
    <w:p w:rsidR="000336BE" w:rsidRDefault="000336BE" w:rsidP="00ED18CB">
      <w:pPr>
        <w:spacing w:after="0"/>
        <w:jc w:val="center"/>
        <w:rPr>
          <w:rFonts w:ascii="Times New Roman" w:hAnsi="Times New Roman"/>
          <w:sz w:val="24"/>
          <w:szCs w:val="24"/>
        </w:rPr>
      </w:pPr>
    </w:p>
    <w:p w:rsidR="000336BE" w:rsidRDefault="000336BE" w:rsidP="00ED18CB">
      <w:pPr>
        <w:spacing w:after="0"/>
        <w:jc w:val="center"/>
        <w:rPr>
          <w:rFonts w:ascii="Times New Roman" w:hAnsi="Times New Roman"/>
          <w:sz w:val="24"/>
          <w:szCs w:val="24"/>
        </w:rPr>
      </w:pPr>
    </w:p>
    <w:p w:rsidR="000336BE" w:rsidRDefault="000336BE" w:rsidP="00ED18CB">
      <w:pPr>
        <w:spacing w:after="0"/>
        <w:jc w:val="center"/>
        <w:rPr>
          <w:rFonts w:ascii="Times New Roman" w:hAnsi="Times New Roman"/>
          <w:sz w:val="24"/>
          <w:szCs w:val="24"/>
        </w:rPr>
      </w:pPr>
    </w:p>
    <w:p w:rsidR="000336BE" w:rsidRDefault="000336BE" w:rsidP="00ED18CB">
      <w:pPr>
        <w:spacing w:after="0"/>
        <w:jc w:val="center"/>
        <w:rPr>
          <w:rFonts w:ascii="Times New Roman" w:hAnsi="Times New Roman"/>
          <w:sz w:val="24"/>
          <w:szCs w:val="24"/>
        </w:rPr>
      </w:pPr>
    </w:p>
    <w:p w:rsidR="000336BE" w:rsidRDefault="000336BE" w:rsidP="00ED18CB">
      <w:pPr>
        <w:spacing w:after="0"/>
        <w:jc w:val="center"/>
        <w:rPr>
          <w:rFonts w:ascii="Times New Roman" w:hAnsi="Times New Roman"/>
          <w:sz w:val="24"/>
          <w:szCs w:val="24"/>
        </w:rPr>
      </w:pPr>
    </w:p>
    <w:p w:rsidR="000336BE" w:rsidRDefault="000336BE" w:rsidP="00ED18CB">
      <w:pPr>
        <w:spacing w:after="0"/>
        <w:jc w:val="center"/>
        <w:rPr>
          <w:rFonts w:ascii="Times New Roman" w:hAnsi="Times New Roman"/>
          <w:sz w:val="24"/>
          <w:szCs w:val="24"/>
        </w:rPr>
      </w:pPr>
    </w:p>
    <w:p w:rsidR="000336BE" w:rsidRDefault="000336BE" w:rsidP="00ED18CB">
      <w:pPr>
        <w:spacing w:after="0"/>
        <w:jc w:val="center"/>
        <w:rPr>
          <w:rFonts w:ascii="Times New Roman" w:hAnsi="Times New Roman"/>
          <w:sz w:val="24"/>
          <w:szCs w:val="24"/>
        </w:rPr>
      </w:pPr>
    </w:p>
    <w:p w:rsidR="000336BE" w:rsidRDefault="000336BE" w:rsidP="00ED18CB">
      <w:pPr>
        <w:spacing w:after="0"/>
        <w:jc w:val="center"/>
        <w:rPr>
          <w:rFonts w:ascii="Times New Roman" w:hAnsi="Times New Roman"/>
          <w:sz w:val="24"/>
          <w:szCs w:val="24"/>
        </w:rPr>
      </w:pPr>
    </w:p>
    <w:p w:rsidR="000336BE" w:rsidRDefault="000336BE" w:rsidP="00ED18CB">
      <w:pPr>
        <w:spacing w:after="0"/>
        <w:jc w:val="center"/>
        <w:rPr>
          <w:rFonts w:ascii="Times New Roman" w:hAnsi="Times New Roman"/>
          <w:sz w:val="24"/>
          <w:szCs w:val="24"/>
        </w:rPr>
      </w:pPr>
    </w:p>
    <w:p w:rsidR="000336BE" w:rsidRDefault="000336BE" w:rsidP="00ED18CB">
      <w:pPr>
        <w:spacing w:after="0"/>
        <w:jc w:val="center"/>
        <w:rPr>
          <w:rFonts w:ascii="Times New Roman" w:hAnsi="Times New Roman"/>
          <w:sz w:val="24"/>
          <w:szCs w:val="24"/>
        </w:rPr>
      </w:pPr>
    </w:p>
    <w:p w:rsidR="000336BE" w:rsidRDefault="000336BE" w:rsidP="00ED18CB">
      <w:pPr>
        <w:spacing w:after="0"/>
        <w:jc w:val="center"/>
        <w:rPr>
          <w:rFonts w:ascii="Times New Roman" w:hAnsi="Times New Roman"/>
          <w:sz w:val="24"/>
          <w:szCs w:val="24"/>
        </w:rPr>
      </w:pPr>
    </w:p>
    <w:p w:rsidR="000336BE" w:rsidRDefault="000336BE" w:rsidP="00ED18CB">
      <w:pPr>
        <w:spacing w:after="0"/>
        <w:jc w:val="center"/>
        <w:rPr>
          <w:rFonts w:ascii="Times New Roman" w:hAnsi="Times New Roman"/>
          <w:sz w:val="24"/>
          <w:szCs w:val="24"/>
        </w:rPr>
      </w:pPr>
    </w:p>
    <w:p w:rsidR="000336BE" w:rsidRDefault="000336BE" w:rsidP="00ED18CB">
      <w:pPr>
        <w:spacing w:after="0"/>
        <w:jc w:val="center"/>
        <w:rPr>
          <w:rFonts w:ascii="Times New Roman" w:hAnsi="Times New Roman"/>
          <w:sz w:val="24"/>
          <w:szCs w:val="24"/>
        </w:rPr>
      </w:pPr>
    </w:p>
    <w:p w:rsidR="000336BE" w:rsidRDefault="000336BE" w:rsidP="00ED18CB">
      <w:pPr>
        <w:spacing w:after="0"/>
        <w:jc w:val="center"/>
        <w:rPr>
          <w:rFonts w:ascii="Times New Roman" w:hAnsi="Times New Roman"/>
          <w:sz w:val="24"/>
          <w:szCs w:val="24"/>
        </w:rPr>
      </w:pPr>
    </w:p>
    <w:p w:rsidR="000336BE" w:rsidRDefault="000336BE" w:rsidP="00ED18CB">
      <w:pPr>
        <w:spacing w:after="0"/>
        <w:jc w:val="center"/>
        <w:rPr>
          <w:rFonts w:ascii="Times New Roman" w:hAnsi="Times New Roman"/>
          <w:sz w:val="24"/>
          <w:szCs w:val="24"/>
        </w:rPr>
      </w:pPr>
    </w:p>
    <w:p w:rsidR="000336BE" w:rsidRDefault="000336BE" w:rsidP="00ED18CB">
      <w:pPr>
        <w:spacing w:after="0"/>
        <w:jc w:val="center"/>
        <w:rPr>
          <w:rFonts w:ascii="Times New Roman" w:hAnsi="Times New Roman"/>
          <w:sz w:val="24"/>
          <w:szCs w:val="24"/>
        </w:rPr>
      </w:pPr>
    </w:p>
    <w:p w:rsidR="000336BE" w:rsidRDefault="000336BE" w:rsidP="00ED18CB">
      <w:pPr>
        <w:spacing w:after="0"/>
        <w:jc w:val="center"/>
        <w:rPr>
          <w:rFonts w:ascii="Times New Roman" w:hAnsi="Times New Roman"/>
          <w:sz w:val="24"/>
          <w:szCs w:val="24"/>
        </w:rPr>
      </w:pPr>
    </w:p>
    <w:p w:rsidR="000336BE" w:rsidRDefault="000336BE" w:rsidP="00ED18CB">
      <w:pPr>
        <w:spacing w:after="0"/>
        <w:jc w:val="center"/>
        <w:rPr>
          <w:rFonts w:ascii="Times New Roman" w:hAnsi="Times New Roman"/>
          <w:sz w:val="24"/>
          <w:szCs w:val="24"/>
        </w:rPr>
      </w:pPr>
    </w:p>
    <w:p w:rsidR="000336BE" w:rsidRDefault="000336BE" w:rsidP="00ED18CB">
      <w:pPr>
        <w:spacing w:after="0"/>
        <w:jc w:val="center"/>
        <w:rPr>
          <w:rFonts w:ascii="Times New Roman" w:hAnsi="Times New Roman"/>
          <w:sz w:val="24"/>
          <w:szCs w:val="24"/>
        </w:rPr>
      </w:pPr>
    </w:p>
    <w:p w:rsidR="000336BE" w:rsidRDefault="000336BE" w:rsidP="00ED18CB">
      <w:pPr>
        <w:spacing w:after="0"/>
        <w:jc w:val="center"/>
        <w:rPr>
          <w:rFonts w:ascii="Times New Roman" w:hAnsi="Times New Roman"/>
          <w:sz w:val="24"/>
          <w:szCs w:val="24"/>
        </w:rPr>
      </w:pPr>
    </w:p>
    <w:p w:rsidR="000336BE" w:rsidRDefault="000336BE" w:rsidP="00ED18CB">
      <w:pPr>
        <w:spacing w:after="0"/>
        <w:jc w:val="center"/>
        <w:rPr>
          <w:rFonts w:ascii="Times New Roman" w:hAnsi="Times New Roman"/>
          <w:sz w:val="24"/>
          <w:szCs w:val="24"/>
        </w:rPr>
      </w:pPr>
    </w:p>
    <w:p w:rsidR="000336BE" w:rsidRDefault="000336BE" w:rsidP="00ED18CB">
      <w:pPr>
        <w:spacing w:after="0"/>
        <w:jc w:val="center"/>
        <w:rPr>
          <w:rFonts w:ascii="Times New Roman" w:hAnsi="Times New Roman"/>
          <w:sz w:val="24"/>
          <w:szCs w:val="24"/>
        </w:rPr>
      </w:pPr>
    </w:p>
    <w:p w:rsidR="000336BE" w:rsidRDefault="000336BE" w:rsidP="00ED18CB">
      <w:pPr>
        <w:spacing w:after="0"/>
        <w:jc w:val="center"/>
        <w:rPr>
          <w:rFonts w:ascii="Times New Roman" w:hAnsi="Times New Roman"/>
          <w:sz w:val="24"/>
          <w:szCs w:val="24"/>
        </w:rPr>
      </w:pPr>
    </w:p>
    <w:p w:rsidR="000336BE" w:rsidRPr="009C1388" w:rsidRDefault="000336BE" w:rsidP="00ED18CB">
      <w:pPr>
        <w:spacing w:after="0"/>
        <w:jc w:val="center"/>
        <w:rPr>
          <w:rFonts w:ascii="Times New Roman" w:hAnsi="Times New Roman"/>
          <w:sz w:val="24"/>
          <w:szCs w:val="24"/>
        </w:rPr>
      </w:pPr>
      <w:r>
        <w:rPr>
          <w:rFonts w:ascii="Times New Roman" w:hAnsi="Times New Roman"/>
          <w:sz w:val="24"/>
          <w:szCs w:val="24"/>
        </w:rPr>
        <w:t>ПРЕГЛЕД ОДРЕДAБA ЗАКОНА О ОРГАНИЗАЦИЈИ И НАДЛЕЖНОСТИ ДРЖАВНИХ ОРГАНА У ПОСТУПКУ ЗА РАТНЕ ЗЛОЧИНЕ КОЈE СЕ ДОПУЊУЈУ</w:t>
      </w:r>
    </w:p>
    <w:p w:rsidR="000336BE" w:rsidRDefault="000336BE" w:rsidP="00ED18CB">
      <w:pPr>
        <w:spacing w:after="0"/>
        <w:jc w:val="center"/>
        <w:rPr>
          <w:rFonts w:ascii="Times New Roman" w:hAnsi="Times New Roman"/>
          <w:sz w:val="24"/>
          <w:szCs w:val="24"/>
        </w:rPr>
      </w:pPr>
    </w:p>
    <w:p w:rsidR="000336BE" w:rsidRPr="00097521" w:rsidRDefault="000336BE" w:rsidP="00097521">
      <w:pPr>
        <w:spacing w:after="0"/>
        <w:jc w:val="center"/>
        <w:rPr>
          <w:rFonts w:ascii="Times New Roman" w:hAnsi="Times New Roman"/>
          <w:sz w:val="24"/>
          <w:szCs w:val="24"/>
        </w:rPr>
      </w:pPr>
      <w:r>
        <w:rPr>
          <w:rFonts w:ascii="Times New Roman" w:hAnsi="Times New Roman"/>
          <w:sz w:val="24"/>
          <w:szCs w:val="24"/>
        </w:rPr>
        <w:t>Члан 5.</w:t>
      </w:r>
    </w:p>
    <w:p w:rsidR="000336BE" w:rsidRPr="00097521" w:rsidRDefault="000336BE" w:rsidP="00097521">
      <w:pPr>
        <w:pStyle w:val="Normal1"/>
        <w:spacing w:before="0" w:beforeAutospacing="0" w:after="0" w:afterAutospacing="0"/>
        <w:ind w:firstLine="720"/>
        <w:jc w:val="both"/>
        <w:rPr>
          <w:rFonts w:ascii="Times New Roman" w:hAnsi="Times New Roman" w:cs="Times New Roman"/>
          <w:sz w:val="24"/>
          <w:szCs w:val="24"/>
        </w:rPr>
      </w:pPr>
      <w:r w:rsidRPr="00097521">
        <w:rPr>
          <w:rFonts w:ascii="Times New Roman" w:hAnsi="Times New Roman" w:cs="Times New Roman"/>
          <w:sz w:val="24"/>
          <w:szCs w:val="24"/>
        </w:rPr>
        <w:t>Приликoм прeдлaгaњa кaндидaтa зa Tужиoцa зa рaтнe злoчинe, oднoснo избoрa зaмeникa Tужиoцa зa рaтнe злoчинe, прeднoст имajу кaндидaти кojи пoсeдуjу пoтрeбнa стручнa знaњa и искуствo у oблaсти кривичнoг прaвa, мeђунaрoднoг хумaнитaрнoг прaвa и људских прaвa.</w:t>
      </w:r>
    </w:p>
    <w:p w:rsidR="000336BE" w:rsidRPr="00097521" w:rsidRDefault="000336BE" w:rsidP="00097521">
      <w:pPr>
        <w:pStyle w:val="Normal1"/>
        <w:spacing w:before="0" w:beforeAutospacing="0" w:after="0" w:afterAutospacing="0"/>
        <w:ind w:firstLine="720"/>
        <w:jc w:val="both"/>
        <w:rPr>
          <w:rFonts w:ascii="Times New Roman" w:hAnsi="Times New Roman" w:cs="Times New Roman"/>
          <w:sz w:val="24"/>
          <w:szCs w:val="24"/>
        </w:rPr>
      </w:pPr>
      <w:r w:rsidRPr="00097521">
        <w:rPr>
          <w:rFonts w:ascii="Times New Roman" w:hAnsi="Times New Roman" w:cs="Times New Roman"/>
          <w:sz w:val="24"/>
          <w:szCs w:val="24"/>
        </w:rPr>
        <w:t>Рeпублички jaвни тужилaц мoжe, нa прeдлoг Tужиoцa зa рaтнe злoчинe, дa упути у Tужилaштвo зa рaтнe злoчинe, зaмeникa jaвнoг тужиoцa, уз њeгoву писмeну сaглaснoст.</w:t>
      </w:r>
    </w:p>
    <w:p w:rsidR="000336BE" w:rsidRPr="00097521" w:rsidRDefault="000336BE" w:rsidP="00097521">
      <w:pPr>
        <w:pStyle w:val="Normal1"/>
        <w:spacing w:before="0" w:beforeAutospacing="0" w:after="0" w:afterAutospacing="0"/>
        <w:ind w:firstLine="720"/>
        <w:jc w:val="both"/>
        <w:rPr>
          <w:rFonts w:ascii="Times New Roman" w:hAnsi="Times New Roman" w:cs="Times New Roman"/>
          <w:sz w:val="24"/>
          <w:szCs w:val="24"/>
        </w:rPr>
      </w:pPr>
      <w:r w:rsidRPr="00097521">
        <w:rPr>
          <w:rFonts w:ascii="Times New Roman" w:hAnsi="Times New Roman" w:cs="Times New Roman"/>
          <w:sz w:val="24"/>
          <w:szCs w:val="24"/>
        </w:rPr>
        <w:t>Упућивaњe из стaвa 1. oвoг члaнa трaje нajдужe чeтири гoдинe, a мoжe бити прoдужeнo oдлукoм Рeпубличкoг jaвнoг тужиoцa, нa прeдлoг Tужиoцa зa рaтнe злoчинe, уз писмeну сaглaснoст упућeнoг зaмeникa jaвнoг тужиoцa.</w:t>
      </w:r>
    </w:p>
    <w:p w:rsidR="000336BE" w:rsidRDefault="000336BE" w:rsidP="00097521">
      <w:pPr>
        <w:spacing w:after="0"/>
        <w:ind w:firstLine="720"/>
        <w:jc w:val="both"/>
        <w:rPr>
          <w:rFonts w:ascii="Times New Roman" w:hAnsi="Times New Roman"/>
          <w:sz w:val="24"/>
          <w:szCs w:val="24"/>
        </w:rPr>
      </w:pPr>
      <w:r>
        <w:rPr>
          <w:rFonts w:ascii="Times New Roman" w:hAnsi="Times New Roman"/>
          <w:sz w:val="24"/>
          <w:szCs w:val="24"/>
        </w:rPr>
        <w:t>ТУЖИОЦУ ЗА РАТНЕ ЗЛОЧИНЕ ФУНКЦИЈА НЕ ПРЕСТАЈЕ НАВРШЕЊЕМ РАДНОГ ВЕКА, АКО МУ НИЈЕ ИСТЕКАО МАНДАТ НА КОЈИ ЈЕ ИЗАБРАН ЗА ТУЖИОЦА ЗА РАТНЕ ЗЛОЧИНЕ.</w:t>
      </w:r>
    </w:p>
    <w:p w:rsidR="005E2873" w:rsidRDefault="000336BE" w:rsidP="00097521">
      <w:pPr>
        <w:spacing w:after="0"/>
        <w:ind w:firstLine="720"/>
        <w:jc w:val="both"/>
        <w:rPr>
          <w:rFonts w:ascii="Times New Roman" w:hAnsi="Times New Roman"/>
          <w:sz w:val="24"/>
          <w:szCs w:val="24"/>
        </w:rPr>
      </w:pPr>
      <w:r>
        <w:rPr>
          <w:rFonts w:ascii="Times New Roman" w:hAnsi="Times New Roman"/>
          <w:sz w:val="24"/>
          <w:szCs w:val="24"/>
        </w:rPr>
        <w:t>У СЛУЧАЈУ ИЗ СТАВА 4. ОВОГ ЧЛАНА, ТУЖИОЦУ ЗА РАТНЕ ЗЛОЧИНЕ ТА ФУНКЦИЈА ПРЕСТАЈЕ ИСТЕКОМ МАНДАТА НА КОЈИ ЈЕ ИЗАБРАН.</w:t>
      </w:r>
    </w:p>
    <w:p w:rsidR="005E2873" w:rsidRDefault="005E2873">
      <w:pPr>
        <w:spacing w:after="0" w:line="240" w:lineRule="auto"/>
        <w:rPr>
          <w:rFonts w:ascii="Times New Roman" w:hAnsi="Times New Roman"/>
          <w:sz w:val="24"/>
          <w:szCs w:val="24"/>
        </w:rPr>
      </w:pPr>
      <w:r>
        <w:rPr>
          <w:rFonts w:ascii="Times New Roman" w:hAnsi="Times New Roman"/>
          <w:sz w:val="24"/>
          <w:szCs w:val="24"/>
        </w:rPr>
        <w:br w:type="page"/>
      </w:r>
    </w:p>
    <w:p w:rsidR="00321354" w:rsidRDefault="00321354" w:rsidP="00321354">
      <w:pPr>
        <w:jc w:val="center"/>
        <w:rPr>
          <w:b/>
          <w:lang w:val="sr-Cyrl-CS"/>
        </w:rPr>
      </w:pPr>
      <w:r>
        <w:rPr>
          <w:b/>
          <w:lang w:val="sr-Cyrl-CS"/>
        </w:rPr>
        <w:lastRenderedPageBreak/>
        <w:t>О Б Р А З Л О Ж Е Њ Е</w:t>
      </w:r>
    </w:p>
    <w:p w:rsidR="00321354" w:rsidRDefault="00321354" w:rsidP="00321354">
      <w:pPr>
        <w:rPr>
          <w:b/>
          <w:lang w:val="sr-Cyrl-CS"/>
        </w:rPr>
      </w:pPr>
    </w:p>
    <w:p w:rsidR="00321354" w:rsidRDefault="00321354" w:rsidP="00321354">
      <w:pPr>
        <w:rPr>
          <w:b/>
          <w:lang w:val="sr-Cyrl-CS"/>
        </w:rPr>
      </w:pPr>
    </w:p>
    <w:p w:rsidR="00321354" w:rsidRDefault="00321354" w:rsidP="00321354">
      <w:pPr>
        <w:rPr>
          <w:lang w:val="sr-Cyrl-CS"/>
        </w:rPr>
      </w:pPr>
      <w:r>
        <w:rPr>
          <w:lang w:val="ru-RU"/>
        </w:rPr>
        <w:tab/>
      </w:r>
      <w:r>
        <w:t>I</w:t>
      </w:r>
      <w:r>
        <w:rPr>
          <w:lang w:val="ru-RU"/>
        </w:rPr>
        <w:t xml:space="preserve">. </w:t>
      </w:r>
      <w:r>
        <w:rPr>
          <w:lang w:val="sr-Cyrl-CS"/>
        </w:rPr>
        <w:t>УСТАВНИ ОСНОВ ЗА ДОНОШЕЊЕ ЗАКОНА</w:t>
      </w:r>
    </w:p>
    <w:p w:rsidR="00321354" w:rsidRDefault="00321354" w:rsidP="00321354">
      <w:pPr>
        <w:rPr>
          <w:lang w:val="ru-RU"/>
        </w:rPr>
      </w:pPr>
      <w:r>
        <w:rPr>
          <w:lang w:val="ru-RU"/>
        </w:rPr>
        <w:tab/>
      </w:r>
    </w:p>
    <w:p w:rsidR="00321354" w:rsidRDefault="00321354" w:rsidP="00321354">
      <w:pPr>
        <w:jc w:val="both"/>
        <w:rPr>
          <w:lang w:val="sr-Cyrl-CS"/>
        </w:rPr>
      </w:pPr>
      <w:r>
        <w:rPr>
          <w:lang w:val="ru-RU"/>
        </w:rPr>
        <w:tab/>
      </w:r>
      <w:r>
        <w:rPr>
          <w:lang w:val="sr-Cyrl-CS"/>
        </w:rPr>
        <w:t xml:space="preserve">Уставни основ за доношење Закона о </w:t>
      </w:r>
      <w:r>
        <w:rPr>
          <w:lang/>
        </w:rPr>
        <w:t>допунама</w:t>
      </w:r>
      <w:r>
        <w:rPr>
          <w:lang w:val="sr-Cyrl-CS"/>
        </w:rPr>
        <w:t xml:space="preserve"> Закона о организацији и надлежности државних органа у поступку за ратне злочине садржан је у члану 97. тач. 2. и 16. Устава Републике Србије, којима је, између осталог, прописано да Република Србија уређује и обезбеђује поступке пред судовима, као и организацију, надлежност и рад републичких органа. </w:t>
      </w:r>
    </w:p>
    <w:p w:rsidR="00321354" w:rsidRDefault="00321354" w:rsidP="00321354">
      <w:pPr>
        <w:jc w:val="both"/>
        <w:rPr>
          <w:lang w:val="sr-Cyrl-CS"/>
        </w:rPr>
      </w:pPr>
    </w:p>
    <w:p w:rsidR="00321354" w:rsidRDefault="00321354" w:rsidP="00321354">
      <w:pPr>
        <w:jc w:val="both"/>
        <w:rPr>
          <w:lang w:val="sr-Cyrl-CS"/>
        </w:rPr>
      </w:pPr>
      <w:r>
        <w:rPr>
          <w:lang w:val="sr-Cyrl-CS"/>
        </w:rPr>
        <w:tab/>
        <w:t xml:space="preserve"> </w:t>
      </w:r>
    </w:p>
    <w:p w:rsidR="00321354" w:rsidRDefault="00321354" w:rsidP="00321354">
      <w:pPr>
        <w:jc w:val="both"/>
        <w:rPr>
          <w:lang w:val="sr-Cyrl-CS"/>
        </w:rPr>
      </w:pPr>
      <w:r>
        <w:rPr>
          <w:lang w:val="sr-Cyrl-CS"/>
        </w:rPr>
        <w:tab/>
      </w:r>
      <w:r>
        <w:t>II</w:t>
      </w:r>
      <w:r>
        <w:rPr>
          <w:lang w:val="ru-RU"/>
        </w:rPr>
        <w:t xml:space="preserve">. </w:t>
      </w:r>
      <w:r>
        <w:rPr>
          <w:lang w:val="sr-Cyrl-CS"/>
        </w:rPr>
        <w:t>РАЗЛОЗИ ЗА ДОНОШЕЊЕ ЗАКОНА</w:t>
      </w:r>
    </w:p>
    <w:p w:rsidR="00321354" w:rsidRDefault="00321354" w:rsidP="00321354">
      <w:pPr>
        <w:jc w:val="both"/>
        <w:rPr>
          <w:lang w:val="ru-RU"/>
        </w:rPr>
      </w:pPr>
      <w:r>
        <w:rPr>
          <w:lang w:val="ru-RU"/>
        </w:rPr>
        <w:tab/>
        <w:t xml:space="preserve"> </w:t>
      </w:r>
    </w:p>
    <w:p w:rsidR="00321354" w:rsidRDefault="00321354" w:rsidP="00321354">
      <w:pPr>
        <w:jc w:val="both"/>
        <w:rPr>
          <w:lang w:val="sr-Cyrl-CS"/>
        </w:rPr>
      </w:pPr>
      <w:r>
        <w:rPr>
          <w:lang w:val="sr-Cyrl-CS"/>
        </w:rPr>
        <w:tab/>
        <w:t xml:space="preserve">Законом о организацији и надлежности државних органа у поступку за ратне злочине  </w:t>
      </w:r>
      <w:r>
        <w:rPr>
          <w:lang w:val="ru-RU"/>
        </w:rPr>
        <w:t>уре</w:t>
      </w:r>
      <w:r>
        <w:rPr>
          <w:lang w:val="sr-Cyrl-CS"/>
        </w:rPr>
        <w:t>ђ</w:t>
      </w:r>
      <w:r>
        <w:rPr>
          <w:lang w:val="ru-RU"/>
        </w:rPr>
        <w:t>е</w:t>
      </w:r>
      <w:r>
        <w:rPr>
          <w:lang w:val="sr-Cyrl-CS"/>
        </w:rPr>
        <w:t>но ј</w:t>
      </w:r>
      <w:r>
        <w:rPr>
          <w:lang w:val="ru-RU"/>
        </w:rPr>
        <w:t>е</w:t>
      </w:r>
      <w:r>
        <w:rPr>
          <w:lang w:val="sr-Cyrl-CS"/>
        </w:rPr>
        <w:t xml:space="preserve"> </w:t>
      </w:r>
      <w:r>
        <w:rPr>
          <w:lang w:val="ru-RU"/>
        </w:rPr>
        <w:t>образовање</w:t>
      </w:r>
      <w:r>
        <w:rPr>
          <w:lang w:val="sr-Cyrl-CS"/>
        </w:rPr>
        <w:t xml:space="preserve">, </w:t>
      </w:r>
      <w:r>
        <w:rPr>
          <w:lang w:val="ru-RU"/>
        </w:rPr>
        <w:t>организација</w:t>
      </w:r>
      <w:r>
        <w:rPr>
          <w:lang w:val="sr-Cyrl-CS"/>
        </w:rPr>
        <w:t xml:space="preserve">, </w:t>
      </w:r>
      <w:r>
        <w:rPr>
          <w:lang w:val="ru-RU"/>
        </w:rPr>
        <w:t>надле</w:t>
      </w:r>
      <w:r>
        <w:rPr>
          <w:lang w:val="sr-Cyrl-CS"/>
        </w:rPr>
        <w:t>ж</w:t>
      </w:r>
      <w:r>
        <w:rPr>
          <w:lang w:val="ru-RU"/>
        </w:rPr>
        <w:t>ност</w:t>
      </w:r>
      <w:r>
        <w:rPr>
          <w:lang w:val="sr-Cyrl-CS"/>
        </w:rPr>
        <w:t xml:space="preserve"> </w:t>
      </w:r>
      <w:r>
        <w:rPr>
          <w:lang w:val="ru-RU"/>
        </w:rPr>
        <w:t>и</w:t>
      </w:r>
      <w:r>
        <w:rPr>
          <w:lang w:val="sr-Cyrl-CS"/>
        </w:rPr>
        <w:t xml:space="preserve"> </w:t>
      </w:r>
      <w:r>
        <w:rPr>
          <w:lang w:val="ru-RU"/>
        </w:rPr>
        <w:t>овла</w:t>
      </w:r>
      <w:r>
        <w:rPr>
          <w:lang w:val="sr-Cyrl-CS"/>
        </w:rPr>
        <w:t>шћ</w:t>
      </w:r>
      <w:r>
        <w:rPr>
          <w:lang w:val="ru-RU"/>
        </w:rPr>
        <w:t>ења</w:t>
      </w:r>
      <w:r>
        <w:rPr>
          <w:lang w:val="sr-Cyrl-CS"/>
        </w:rPr>
        <w:t xml:space="preserve"> </w:t>
      </w:r>
      <w:r>
        <w:rPr>
          <w:lang w:val="ru-RU"/>
        </w:rPr>
        <w:t>др</w:t>
      </w:r>
      <w:r>
        <w:rPr>
          <w:lang w:val="sr-Cyrl-CS"/>
        </w:rPr>
        <w:t>ж</w:t>
      </w:r>
      <w:r>
        <w:rPr>
          <w:lang w:val="ru-RU"/>
        </w:rPr>
        <w:t>авних</w:t>
      </w:r>
      <w:r>
        <w:rPr>
          <w:lang w:val="sr-Cyrl-CS"/>
        </w:rPr>
        <w:t xml:space="preserve"> </w:t>
      </w:r>
      <w:r>
        <w:rPr>
          <w:lang w:val="ru-RU"/>
        </w:rPr>
        <w:t>органа</w:t>
      </w:r>
      <w:r>
        <w:rPr>
          <w:lang w:val="sr-Cyrl-CS"/>
        </w:rPr>
        <w:t xml:space="preserve"> </w:t>
      </w:r>
      <w:r>
        <w:rPr>
          <w:lang w:val="ru-RU"/>
        </w:rPr>
        <w:t>и</w:t>
      </w:r>
      <w:r>
        <w:rPr>
          <w:lang w:val="sr-Cyrl-CS"/>
        </w:rPr>
        <w:t xml:space="preserve"> </w:t>
      </w:r>
      <w:r>
        <w:rPr>
          <w:lang w:val="ru-RU"/>
        </w:rPr>
        <w:t>њихових</w:t>
      </w:r>
      <w:r>
        <w:rPr>
          <w:lang w:val="sr-Cyrl-CS"/>
        </w:rPr>
        <w:t xml:space="preserve"> </w:t>
      </w:r>
      <w:r>
        <w:rPr>
          <w:lang w:val="ru-RU"/>
        </w:rPr>
        <w:t>организационих</w:t>
      </w:r>
      <w:r>
        <w:rPr>
          <w:lang w:val="sr-Cyrl-CS"/>
        </w:rPr>
        <w:t xml:space="preserve"> </w:t>
      </w:r>
      <w:r>
        <w:rPr>
          <w:lang w:val="ru-RU"/>
        </w:rPr>
        <w:t>јединица</w:t>
      </w:r>
      <w:r>
        <w:rPr>
          <w:lang w:val="sr-Cyrl-CS"/>
        </w:rPr>
        <w:t xml:space="preserve"> </w:t>
      </w:r>
      <w:r>
        <w:rPr>
          <w:lang w:val="ru-RU"/>
        </w:rPr>
        <w:t>ради</w:t>
      </w:r>
      <w:r>
        <w:rPr>
          <w:lang w:val="sr-Cyrl-CS"/>
        </w:rPr>
        <w:t xml:space="preserve"> </w:t>
      </w:r>
      <w:r>
        <w:rPr>
          <w:lang w:val="ru-RU"/>
        </w:rPr>
        <w:t>откривања</w:t>
      </w:r>
      <w:r>
        <w:rPr>
          <w:lang w:val="sr-Cyrl-CS"/>
        </w:rPr>
        <w:t xml:space="preserve">, </w:t>
      </w:r>
      <w:r>
        <w:rPr>
          <w:lang w:val="ru-RU"/>
        </w:rPr>
        <w:t>криви</w:t>
      </w:r>
      <w:r>
        <w:rPr>
          <w:lang w:val="sr-Cyrl-CS"/>
        </w:rPr>
        <w:t>ч</w:t>
      </w:r>
      <w:r>
        <w:rPr>
          <w:lang w:val="ru-RU"/>
        </w:rPr>
        <w:t>ног</w:t>
      </w:r>
      <w:r>
        <w:rPr>
          <w:lang w:val="sr-Cyrl-CS"/>
        </w:rPr>
        <w:t xml:space="preserve"> </w:t>
      </w:r>
      <w:r>
        <w:rPr>
          <w:lang w:val="ru-RU"/>
        </w:rPr>
        <w:t>гоњења</w:t>
      </w:r>
      <w:r>
        <w:rPr>
          <w:lang w:val="sr-Cyrl-CS"/>
        </w:rPr>
        <w:t xml:space="preserve"> </w:t>
      </w:r>
      <w:r>
        <w:rPr>
          <w:lang w:val="ru-RU"/>
        </w:rPr>
        <w:t>и</w:t>
      </w:r>
      <w:r>
        <w:rPr>
          <w:lang w:val="sr-Cyrl-CS"/>
        </w:rPr>
        <w:t xml:space="preserve"> </w:t>
      </w:r>
      <w:r>
        <w:rPr>
          <w:lang w:val="ru-RU"/>
        </w:rPr>
        <w:t>су</w:t>
      </w:r>
      <w:r>
        <w:rPr>
          <w:lang w:val="sr-Cyrl-CS"/>
        </w:rPr>
        <w:t>ђ</w:t>
      </w:r>
      <w:r>
        <w:rPr>
          <w:lang w:val="ru-RU"/>
        </w:rPr>
        <w:t>ења</w:t>
      </w:r>
      <w:r>
        <w:rPr>
          <w:lang w:val="sr-Cyrl-CS"/>
        </w:rPr>
        <w:t xml:space="preserve"> </w:t>
      </w:r>
      <w:r>
        <w:rPr>
          <w:lang w:val="ru-RU"/>
        </w:rPr>
        <w:t>за</w:t>
      </w:r>
      <w:r>
        <w:rPr>
          <w:lang w:val="sr-Cyrl-CS"/>
        </w:rPr>
        <w:t xml:space="preserve"> </w:t>
      </w:r>
      <w:r>
        <w:rPr>
          <w:lang w:val="ru-RU"/>
        </w:rPr>
        <w:t>криви</w:t>
      </w:r>
      <w:r>
        <w:rPr>
          <w:lang w:val="sr-Cyrl-CS"/>
        </w:rPr>
        <w:t>ч</w:t>
      </w:r>
      <w:r>
        <w:rPr>
          <w:lang w:val="ru-RU"/>
        </w:rPr>
        <w:t>на</w:t>
      </w:r>
      <w:r>
        <w:rPr>
          <w:lang w:val="sr-Cyrl-CS"/>
        </w:rPr>
        <w:t xml:space="preserve"> </w:t>
      </w:r>
      <w:r>
        <w:rPr>
          <w:lang w:val="ru-RU"/>
        </w:rPr>
        <w:t>дела</w:t>
      </w:r>
      <w:r>
        <w:rPr>
          <w:lang w:val="sr-Cyrl-CS"/>
        </w:rPr>
        <w:t xml:space="preserve"> ратних злочина. </w:t>
      </w:r>
    </w:p>
    <w:p w:rsidR="00321354" w:rsidRDefault="00321354" w:rsidP="00321354">
      <w:pPr>
        <w:jc w:val="both"/>
        <w:rPr>
          <w:lang w:val="sr-Cyrl-CS"/>
        </w:rPr>
      </w:pPr>
      <w:bookmarkStart w:id="0" w:name="str_37"/>
      <w:bookmarkEnd w:id="0"/>
      <w:r>
        <w:rPr>
          <w:lang w:val="sr-Cyrl-CS"/>
        </w:rPr>
        <w:tab/>
        <w:t xml:space="preserve">Уставом Републике Србије и Законом о јавном тужилаштву прописано је да се јавни тужилац бира на мандат од шест година. Законом јавном тужилаштву прописано је да функција јавног тужиоца престаје због навршавања радног века када лице које обавља ту функцију наврши 65 година живота. </w:t>
      </w:r>
    </w:p>
    <w:p w:rsidR="00321354" w:rsidRDefault="00321354" w:rsidP="00321354">
      <w:pPr>
        <w:ind w:firstLine="720"/>
        <w:jc w:val="both"/>
        <w:rPr>
          <w:lang w:val="sr-Cyrl-CS"/>
        </w:rPr>
      </w:pPr>
      <w:r>
        <w:rPr>
          <w:lang w:val="sr-Cyrl-CS"/>
        </w:rPr>
        <w:t>Законом се предлаже да Тужиоцу за ратне злочине та фунција престаје истеком мандата на који је изабран, без обзира ако је у току трајања мандата испуњен услов за престанак функције због навршења радног века. Овакво решење предлаже се из разлога специфичности послова Тужилаштва за ратне злочине, које је надлежно за гоњење кривичних дела ратних злочина почињених на територији бивше Југославије. Имајући у виду сложеност предмета на којима рди ово тужилаштво неопходно је обезбедити континуитет рада на тим предметима, на тај начин што би се омогућило да јавни тужилац који руководи овим тужилаштвом обавља ту функцију до краја мандата на који је изабран.</w:t>
      </w:r>
    </w:p>
    <w:p w:rsidR="00321354" w:rsidRDefault="00321354" w:rsidP="00321354">
      <w:pPr>
        <w:jc w:val="both"/>
        <w:rPr>
          <w:lang w:val="sr-Cyrl-CS"/>
        </w:rPr>
      </w:pPr>
    </w:p>
    <w:p w:rsidR="00321354" w:rsidRDefault="00321354" w:rsidP="00321354">
      <w:pPr>
        <w:jc w:val="both"/>
        <w:rPr>
          <w:lang w:val="sr-Cyrl-CS"/>
        </w:rPr>
      </w:pPr>
    </w:p>
    <w:p w:rsidR="00321354" w:rsidRDefault="00321354" w:rsidP="00321354">
      <w:pPr>
        <w:jc w:val="both"/>
        <w:rPr>
          <w:lang w:val="sr-Cyrl-CS"/>
        </w:rPr>
      </w:pPr>
      <w:r>
        <w:rPr>
          <w:lang w:val="sr-Cyrl-CS"/>
        </w:rPr>
        <w:tab/>
      </w:r>
      <w:r>
        <w:t>III</w:t>
      </w:r>
      <w:r>
        <w:rPr>
          <w:lang w:val="ru-RU"/>
        </w:rPr>
        <w:t xml:space="preserve">. </w:t>
      </w:r>
      <w:r>
        <w:rPr>
          <w:lang w:val="sr-Cyrl-CS"/>
        </w:rPr>
        <w:t>ОБЈАШЊЕЊЕ ОСНОВНИХ ПРАВНИХ ИНСТИТУТА И ПОЈЕДИНАЧНИХ РЕШЕЊА</w:t>
      </w:r>
    </w:p>
    <w:p w:rsidR="00321354" w:rsidRDefault="00321354" w:rsidP="00321354">
      <w:pPr>
        <w:jc w:val="both"/>
        <w:rPr>
          <w:lang w:val="sr-Cyrl-CS"/>
        </w:rPr>
      </w:pPr>
    </w:p>
    <w:p w:rsidR="00321354" w:rsidRDefault="00321354" w:rsidP="00321354">
      <w:pPr>
        <w:ind w:firstLine="720"/>
        <w:jc w:val="both"/>
        <w:rPr>
          <w:lang w:val="sr-Cyrl-CS"/>
        </w:rPr>
      </w:pPr>
      <w:r>
        <w:rPr>
          <w:lang w:val="sr-Cyrl-CS"/>
        </w:rPr>
        <w:t xml:space="preserve">Чланом 1. Закона допуњује се члан 5. Закона о организацији и надлежности државних органа у поступку за ратне злочине, тако што се додају ст. 4. и 5, којима се предвиђа да </w:t>
      </w:r>
      <w:r>
        <w:rPr>
          <w:lang/>
        </w:rPr>
        <w:t>Тужиоцу за ратне злочине функција не престаје навршењем радног века, ако му није истекао мандат на који је изабран, већ му функција престаје истеком мандата.</w:t>
      </w:r>
      <w:r>
        <w:rPr>
          <w:lang w:val="sr-Cyrl-CS"/>
        </w:rPr>
        <w:t xml:space="preserve"> </w:t>
      </w:r>
    </w:p>
    <w:p w:rsidR="00321354" w:rsidRDefault="00321354" w:rsidP="00321354">
      <w:pPr>
        <w:ind w:firstLine="720"/>
        <w:jc w:val="both"/>
        <w:rPr>
          <w:lang w:val="sr-Cyrl-CS"/>
        </w:rPr>
      </w:pPr>
      <w:r>
        <w:rPr>
          <w:lang w:val="sr-Cyrl-CS"/>
        </w:rPr>
        <w:t xml:space="preserve">Чланом 2. Закона </w:t>
      </w:r>
      <w:r>
        <w:rPr>
          <w:bCs/>
          <w:lang w:val="ru-RU"/>
        </w:rPr>
        <w:t>уређено је ступање закона на снагу, односно предвиђено је да закон ступа на снагу наредног дана од дана објављивања у „Службеном гласнику Републике Србије”.</w:t>
      </w:r>
    </w:p>
    <w:p w:rsidR="00321354" w:rsidRDefault="00321354" w:rsidP="00321354">
      <w:pPr>
        <w:jc w:val="both"/>
        <w:rPr>
          <w:lang w:val="sr-Cyrl-CS"/>
        </w:rPr>
      </w:pPr>
    </w:p>
    <w:p w:rsidR="00321354" w:rsidRDefault="00321354" w:rsidP="00321354">
      <w:pPr>
        <w:jc w:val="both"/>
        <w:rPr>
          <w:lang w:val="sr-Cyrl-CS"/>
        </w:rPr>
      </w:pPr>
      <w:r>
        <w:rPr>
          <w:lang w:val="sr-Cyrl-CS"/>
        </w:rPr>
        <w:t xml:space="preserve">     </w:t>
      </w:r>
    </w:p>
    <w:p w:rsidR="00321354" w:rsidRDefault="00321354" w:rsidP="00321354">
      <w:pPr>
        <w:jc w:val="both"/>
        <w:rPr>
          <w:lang w:val="sr-Cyrl-CS"/>
        </w:rPr>
      </w:pPr>
      <w:r>
        <w:rPr>
          <w:lang w:val="sr-Cyrl-CS"/>
        </w:rPr>
        <w:tab/>
      </w:r>
      <w:r>
        <w:t>IV</w:t>
      </w:r>
      <w:r>
        <w:rPr>
          <w:lang w:val="ru-RU"/>
        </w:rPr>
        <w:t xml:space="preserve">. </w:t>
      </w:r>
      <w:r>
        <w:rPr>
          <w:lang w:val="sr-Cyrl-CS"/>
        </w:rPr>
        <w:t>ФИНАНСИЈСКА СРЕДСТВА ПОТРЕБНА ЗА ПРИМЕНУ ЗАКОНА</w:t>
      </w:r>
    </w:p>
    <w:p w:rsidR="00321354" w:rsidRDefault="00321354" w:rsidP="00321354">
      <w:pPr>
        <w:jc w:val="both"/>
        <w:rPr>
          <w:lang w:val="sr-Cyrl-CS"/>
        </w:rPr>
      </w:pPr>
    </w:p>
    <w:p w:rsidR="00321354" w:rsidRDefault="00321354" w:rsidP="00321354">
      <w:pPr>
        <w:jc w:val="both"/>
        <w:rPr>
          <w:lang/>
        </w:rPr>
      </w:pPr>
      <w:r>
        <w:rPr>
          <w:lang w:val="sr-Cyrl-CS"/>
        </w:rPr>
        <w:tab/>
        <w:t xml:space="preserve">За спровођење овог закона </w:t>
      </w:r>
      <w:r>
        <w:rPr>
          <w:lang/>
        </w:rPr>
        <w:t>средства су обезбеђена у оквиру буџетских средстава Тужилаштва за ратне злочине, раздео 8.2, програм 1604-Рад тужилаштва, функција 330-Судови, програмска активност 0005-Спровођење тужилачких активности Тужилаштва за ратне злочине, економске класификације 411- Плате, додаци и накнаде запослених (зараде) и 412-Социјални доприноси на терет послодавца</w:t>
      </w:r>
      <w:r>
        <w:t xml:space="preserve">, </w:t>
      </w:r>
      <w:r>
        <w:rPr>
          <w:lang/>
        </w:rPr>
        <w:t>а у наредним годинама средства ће се планирати у оквиру лимита опредељеног за Тужилаштво за ратне злочине.</w:t>
      </w:r>
    </w:p>
    <w:p w:rsidR="00321354" w:rsidRDefault="00321354" w:rsidP="00321354">
      <w:pPr>
        <w:jc w:val="both"/>
        <w:rPr>
          <w:lang w:val="sr-Cyrl-CS"/>
        </w:rPr>
      </w:pPr>
    </w:p>
    <w:p w:rsidR="00321354" w:rsidRDefault="00321354" w:rsidP="00321354">
      <w:pPr>
        <w:jc w:val="both"/>
        <w:rPr>
          <w:lang w:val="sr-Cyrl-CS"/>
        </w:rPr>
      </w:pPr>
      <w:r>
        <w:rPr>
          <w:lang w:val="sr-Cyrl-CS"/>
        </w:rPr>
        <w:tab/>
      </w:r>
      <w:r>
        <w:t>V</w:t>
      </w:r>
      <w:r>
        <w:rPr>
          <w:lang w:val="ru-RU"/>
        </w:rPr>
        <w:t xml:space="preserve">. </w:t>
      </w:r>
      <w:r>
        <w:rPr>
          <w:lang w:val="sr-Cyrl-CS"/>
        </w:rPr>
        <w:t>РАЗЛОЗИ ЗА ДОНОШЕЊЕ ЗАКОНА ПО ХИТНОМ ПОСТУПКУ</w:t>
      </w:r>
    </w:p>
    <w:p w:rsidR="00321354" w:rsidRDefault="00321354" w:rsidP="00321354">
      <w:pPr>
        <w:jc w:val="both"/>
        <w:rPr>
          <w:lang w:val="sr-Cyrl-CS"/>
        </w:rPr>
      </w:pPr>
    </w:p>
    <w:p w:rsidR="00321354" w:rsidRDefault="00321354" w:rsidP="00321354">
      <w:pPr>
        <w:jc w:val="both"/>
        <w:rPr>
          <w:lang w:val="sr-Cyrl-CS"/>
        </w:rPr>
      </w:pPr>
      <w:r>
        <w:rPr>
          <w:lang w:val="sr-Cyrl-CS"/>
        </w:rPr>
        <w:tab/>
        <w:t>Предлаже се да се Закон о допунама Закона о организацији и надлежности државних органа у поступку за ратне злочине судијама донесе по хитном поступку, из разлога што би недоношење закона по хитном поступку могло да проузрокује штетне последице по рад Тужилаштва за ратне злочине, као и ради испуњења међународних обавеза.</w:t>
      </w:r>
      <w:r>
        <w:rPr>
          <w:lang w:val="sr-Cyrl-CS"/>
        </w:rPr>
        <w:tab/>
        <w:t xml:space="preserve"> </w:t>
      </w:r>
    </w:p>
    <w:p w:rsidR="00321354" w:rsidRDefault="00321354" w:rsidP="00321354">
      <w:pPr>
        <w:jc w:val="both"/>
        <w:rPr>
          <w:lang w:val="sr-Cyrl-CS"/>
        </w:rPr>
      </w:pPr>
    </w:p>
    <w:p w:rsidR="00321354" w:rsidRDefault="00321354" w:rsidP="00321354">
      <w:pPr>
        <w:jc w:val="both"/>
        <w:rPr>
          <w:lang w:val="sr-Cyrl-CS"/>
        </w:rPr>
      </w:pPr>
    </w:p>
    <w:p w:rsidR="00321354" w:rsidRDefault="00321354" w:rsidP="00321354">
      <w:pPr>
        <w:ind w:firstLine="720"/>
        <w:jc w:val="both"/>
        <w:rPr>
          <w:lang w:val="sr-Cyrl-CS"/>
        </w:rPr>
      </w:pPr>
      <w:r>
        <w:t xml:space="preserve">VI. </w:t>
      </w:r>
      <w:r>
        <w:rPr>
          <w:lang w:val="sr-Cyrl-CS"/>
        </w:rPr>
        <w:t>РАЗЛОЗИ ЗБОГ КОЈИХ СЕ ПРЕДЛАЖЕ ДА ЗАКОН СТУПИ НА СНАГУ ПРЕ ОСМОГ ДАНА ОД ДАНА ОБЈАВЉИВАЊА У „СЛУЖБЕНОМ ГЛАСНИКУ РЕПУБЛИКЕ СРБИЈЕ”</w:t>
      </w:r>
    </w:p>
    <w:p w:rsidR="00321354" w:rsidRDefault="00321354" w:rsidP="00321354">
      <w:pPr>
        <w:ind w:firstLine="720"/>
        <w:jc w:val="both"/>
      </w:pPr>
    </w:p>
    <w:p w:rsidR="00321354" w:rsidRDefault="00321354" w:rsidP="00321354">
      <w:pPr>
        <w:ind w:firstLine="720"/>
        <w:jc w:val="both"/>
        <w:rPr>
          <w:lang w:val="sr-Cyrl-CS"/>
        </w:rPr>
      </w:pPr>
      <w:r>
        <w:rPr>
          <w:lang w:val="ru-RU"/>
        </w:rPr>
        <w:lastRenderedPageBreak/>
        <w:t>Одредбом члана 196. став 4. Устава Републике Србије прописано је да закони</w:t>
      </w:r>
      <w:r>
        <w:rPr>
          <w:lang w:val="sr-Cyrl-CS"/>
        </w:rPr>
        <w:t xml:space="preserve"> и други општи акти</w:t>
      </w:r>
      <w:r>
        <w:rPr>
          <w:lang w:val="ru-RU"/>
        </w:rPr>
        <w:t xml:space="preserve"> могу да ступе на снагу и пре осмог дана од дана објављивања само ако за то постоје нарочито оправдани разлози утврђени приликом њиховог доношења.</w:t>
      </w:r>
      <w:r>
        <w:rPr>
          <w:lang w:val="sr-Cyrl-CS"/>
        </w:rPr>
        <w:tab/>
      </w:r>
    </w:p>
    <w:p w:rsidR="00321354" w:rsidRDefault="00321354" w:rsidP="00321354">
      <w:pPr>
        <w:ind w:firstLine="720"/>
        <w:jc w:val="both"/>
        <w:rPr>
          <w:lang w:val="sr-Cyrl-CS"/>
        </w:rPr>
      </w:pPr>
    </w:p>
    <w:p w:rsidR="00321354" w:rsidRDefault="00321354" w:rsidP="00321354">
      <w:pPr>
        <w:ind w:firstLine="720"/>
        <w:jc w:val="both"/>
        <w:rPr>
          <w:lang w:val="sr-Cyrl-CS"/>
        </w:rPr>
      </w:pPr>
      <w:r>
        <w:rPr>
          <w:lang w:val="sr-Cyrl-CS"/>
        </w:rPr>
        <w:t xml:space="preserve">У </w:t>
      </w:r>
      <w:r>
        <w:rPr>
          <w:lang w:val="ru-RU"/>
        </w:rPr>
        <w:t xml:space="preserve">случају Закона о допунама Закона </w:t>
      </w:r>
      <w:r>
        <w:rPr>
          <w:lang w:val="sr-Cyrl-CS"/>
        </w:rPr>
        <w:t>о организацији и надлежности државних органа у поступку за ратне злочине</w:t>
      </w:r>
      <w:r>
        <w:rPr>
          <w:lang w:val="ru-RU"/>
        </w:rPr>
        <w:t xml:space="preserve"> постоје нарочито оправдани разлози да з</w:t>
      </w:r>
      <w:r>
        <w:rPr>
          <w:lang w:val="sr-Cyrl-CS"/>
        </w:rPr>
        <w:t xml:space="preserve">акон </w:t>
      </w:r>
      <w:r>
        <w:rPr>
          <w:lang w:val="ru-RU"/>
        </w:rPr>
        <w:t>ступи на снагу наредног</w:t>
      </w:r>
      <w:r>
        <w:rPr>
          <w:lang w:val="sr-Cyrl-CS"/>
        </w:rPr>
        <w:t xml:space="preserve"> дана од дана објављивања у „Службеном гласнику Републике Србије”</w:t>
      </w:r>
      <w:r>
        <w:rPr>
          <w:lang w:val="ru-RU"/>
        </w:rPr>
        <w:t xml:space="preserve">, будући да је то неопходно </w:t>
      </w:r>
      <w:r>
        <w:rPr>
          <w:lang w:val="sr-Cyrl-CS"/>
        </w:rPr>
        <w:t>ради спречавања настанка штетних последица по рад Тужилаштва за ратне злочине.</w:t>
      </w:r>
    </w:p>
    <w:p w:rsidR="00912B08" w:rsidRDefault="00912B08">
      <w:pPr>
        <w:spacing w:after="0" w:line="240" w:lineRule="auto"/>
        <w:rPr>
          <w:rFonts w:ascii="Times New Roman" w:hAnsi="Times New Roman"/>
          <w:sz w:val="24"/>
          <w:szCs w:val="24"/>
        </w:rPr>
      </w:pPr>
      <w:r>
        <w:rPr>
          <w:rFonts w:ascii="Times New Roman" w:hAnsi="Times New Roman"/>
          <w:sz w:val="24"/>
          <w:szCs w:val="24"/>
        </w:rPr>
        <w:br w:type="page"/>
      </w:r>
    </w:p>
    <w:p w:rsidR="00912B08" w:rsidRDefault="00912B08" w:rsidP="00912B08">
      <w:pPr>
        <w:pBdr>
          <w:top w:val="single" w:sz="4" w:space="1" w:color="auto"/>
          <w:left w:val="single" w:sz="4" w:space="4" w:color="auto"/>
          <w:bottom w:val="single" w:sz="4" w:space="1" w:color="auto"/>
          <w:right w:val="single" w:sz="4" w:space="4" w:color="auto"/>
        </w:pBdr>
        <w:shd w:val="pct10" w:color="auto" w:fill="FFFFFF"/>
        <w:jc w:val="center"/>
        <w:rPr>
          <w:b/>
          <w:lang w:val="sr-Cyrl-CS"/>
        </w:rPr>
      </w:pPr>
      <w:r>
        <w:rPr>
          <w:b/>
        </w:rPr>
        <w:lastRenderedPageBreak/>
        <w:t>ИЗЈАВ</w:t>
      </w:r>
      <w:r>
        <w:rPr>
          <w:b/>
          <w:lang/>
        </w:rPr>
        <w:t>А</w:t>
      </w:r>
      <w:r>
        <w:rPr>
          <w:b/>
        </w:rPr>
        <w:t xml:space="preserve"> О УСКЛАЂЕНОСТИ ПРОПИСА С</w:t>
      </w:r>
      <w:r>
        <w:rPr>
          <w:b/>
          <w:lang w:val="sr-Cyrl-CS"/>
        </w:rPr>
        <w:t>А ПРОПИСИМА ЕВРОПСКЕ УНИЈЕ</w:t>
      </w:r>
    </w:p>
    <w:p w:rsidR="00912B08" w:rsidRDefault="00912B08" w:rsidP="00912B08">
      <w:pPr>
        <w:shd w:val="clear" w:color="auto" w:fill="FFFFFF"/>
        <w:rPr>
          <w:sz w:val="24"/>
          <w:szCs w:val="24"/>
          <w:lang w:val="sr-Cyrl-CS"/>
        </w:rPr>
      </w:pPr>
    </w:p>
    <w:p w:rsidR="00912B08" w:rsidRDefault="00912B08" w:rsidP="00912B08">
      <w:pPr>
        <w:pStyle w:val="FootnoteText"/>
        <w:spacing w:line="240" w:lineRule="auto"/>
        <w:rPr>
          <w:lang w:val="sr-Cyrl-CS"/>
        </w:rPr>
      </w:pPr>
    </w:p>
    <w:p w:rsidR="00912B08" w:rsidRDefault="00912B08" w:rsidP="00912B08">
      <w:pPr>
        <w:pStyle w:val="FootnoteText"/>
        <w:spacing w:line="240" w:lineRule="auto"/>
        <w:rPr>
          <w:lang w:val="sr-Cyrl-CS"/>
        </w:rPr>
      </w:pPr>
    </w:p>
    <w:p w:rsidR="00912B08" w:rsidRDefault="00912B08" w:rsidP="00912B08">
      <w:pPr>
        <w:jc w:val="both"/>
        <w:rPr>
          <w:lang w:val="sr-Cyrl-CS"/>
        </w:rPr>
      </w:pPr>
      <w:r>
        <w:rPr>
          <w:b/>
        </w:rPr>
        <w:t xml:space="preserve">1. </w:t>
      </w:r>
      <w:r>
        <w:rPr>
          <w:b/>
          <w:lang w:val="sr-Cyrl-CS"/>
        </w:rPr>
        <w:t xml:space="preserve">Овлашћени предлагач прописа- </w:t>
      </w:r>
      <w:r>
        <w:rPr>
          <w:lang w:val="sr-Cyrl-CS"/>
        </w:rPr>
        <w:t>Влада</w:t>
      </w:r>
    </w:p>
    <w:p w:rsidR="00912B08" w:rsidRDefault="00912B08" w:rsidP="00912B08">
      <w:pPr>
        <w:jc w:val="both"/>
        <w:rPr>
          <w:lang w:val="hr-HR"/>
        </w:rPr>
      </w:pPr>
    </w:p>
    <w:p w:rsidR="00912B08" w:rsidRDefault="00912B08" w:rsidP="00912B08">
      <w:pPr>
        <w:jc w:val="both"/>
        <w:rPr>
          <w:lang w:val="sr-Cyrl-CS"/>
        </w:rPr>
      </w:pPr>
      <w:r>
        <w:rPr>
          <w:b/>
          <w:lang/>
        </w:rPr>
        <w:t xml:space="preserve">    Обрађивач </w:t>
      </w:r>
      <w:r>
        <w:rPr>
          <w:lang/>
        </w:rPr>
        <w:t xml:space="preserve">- </w:t>
      </w:r>
      <w:r>
        <w:t xml:space="preserve">Министарство </w:t>
      </w:r>
      <w:r>
        <w:rPr>
          <w:lang w:val="sr-Cyrl-CS"/>
        </w:rPr>
        <w:t>правде</w:t>
      </w:r>
    </w:p>
    <w:p w:rsidR="00912B08" w:rsidRDefault="00912B08" w:rsidP="00912B08">
      <w:pPr>
        <w:jc w:val="both"/>
        <w:rPr>
          <w:b/>
          <w:lang w:val="sr-Cyrl-CS"/>
        </w:rPr>
      </w:pPr>
    </w:p>
    <w:p w:rsidR="00912B08" w:rsidRDefault="00912B08" w:rsidP="00912B08">
      <w:pPr>
        <w:jc w:val="both"/>
        <w:rPr>
          <w:b/>
          <w:lang w:val="sr-Cyrl-CS"/>
        </w:rPr>
      </w:pPr>
      <w:r>
        <w:rPr>
          <w:b/>
        </w:rPr>
        <w:t xml:space="preserve">2. Назив </w:t>
      </w:r>
      <w:r>
        <w:rPr>
          <w:b/>
          <w:lang w:val="sr-Cyrl-CS"/>
        </w:rPr>
        <w:t>прописа</w:t>
      </w:r>
    </w:p>
    <w:p w:rsidR="00912B08" w:rsidRDefault="00912B08" w:rsidP="00912B08">
      <w:pPr>
        <w:jc w:val="both"/>
        <w:rPr>
          <w:b/>
          <w:lang w:val="sr-Cyrl-CS"/>
        </w:rPr>
      </w:pPr>
    </w:p>
    <w:p w:rsidR="00912B08" w:rsidRDefault="00912B08" w:rsidP="00912B08">
      <w:pPr>
        <w:tabs>
          <w:tab w:val="left" w:pos="855"/>
        </w:tabs>
        <w:jc w:val="both"/>
        <w:rPr>
          <w:caps/>
          <w:lang w:val="sr-Cyrl-CS"/>
        </w:rPr>
      </w:pPr>
      <w:r>
        <w:rPr>
          <w:lang w:val="sr-Cyrl-CS"/>
        </w:rPr>
        <w:t>Предлог закона о допунама Закона о организацији и надлежности државних органа у поступку за ратне злочине</w:t>
      </w:r>
    </w:p>
    <w:p w:rsidR="00912B08" w:rsidRDefault="00912B08" w:rsidP="00912B08">
      <w:pPr>
        <w:jc w:val="both"/>
        <w:rPr>
          <w:lang w:val="sr-Cyrl-CS"/>
        </w:rPr>
      </w:pPr>
    </w:p>
    <w:p w:rsidR="00912B08" w:rsidRDefault="00912B08" w:rsidP="00912B08">
      <w:pPr>
        <w:jc w:val="both"/>
        <w:rPr>
          <w:bCs/>
          <w:lang w:val="hr-HR"/>
        </w:rPr>
      </w:pPr>
      <w:r>
        <w:rPr>
          <w:lang w:val="en-GB"/>
        </w:rPr>
        <w:t xml:space="preserve">Draft Law on </w:t>
      </w:r>
      <w:r>
        <w:rPr>
          <w:lang/>
        </w:rPr>
        <w:t>А</w:t>
      </w:r>
      <w:r>
        <w:rPr>
          <w:lang w:val="en-GB"/>
        </w:rPr>
        <w:t xml:space="preserve">dditions to the </w:t>
      </w:r>
      <w:r>
        <w:rPr>
          <w:bCs/>
        </w:rPr>
        <w:t xml:space="preserve">Law on </w:t>
      </w:r>
      <w:r>
        <w:rPr>
          <w:bCs/>
          <w:lang w:val="sr-Cyrl-CS"/>
        </w:rPr>
        <w:t>О</w:t>
      </w:r>
      <w:r>
        <w:rPr>
          <w:bCs/>
        </w:rPr>
        <w:t>rganisation and Jurisdiction of Goverment Authorities in War Crime Procedure</w:t>
      </w:r>
    </w:p>
    <w:p w:rsidR="00912B08" w:rsidRDefault="00912B08" w:rsidP="00912B08">
      <w:pPr>
        <w:jc w:val="both"/>
        <w:rPr>
          <w:rStyle w:val="Strong"/>
          <w:rFonts w:ascii="Verdana" w:hAnsi="Verdana"/>
          <w:color w:val="000000"/>
          <w:sz w:val="28"/>
          <w:szCs w:val="28"/>
        </w:rPr>
      </w:pPr>
    </w:p>
    <w:p w:rsidR="00912B08" w:rsidRDefault="00912B08" w:rsidP="00912B08">
      <w:pPr>
        <w:jc w:val="both"/>
        <w:rPr>
          <w:rFonts w:ascii="Times New Roman" w:hAnsi="Times New Roman"/>
          <w:sz w:val="24"/>
          <w:szCs w:val="24"/>
          <w:lang w:val="sr-Cyrl-CS"/>
        </w:rPr>
      </w:pPr>
      <w:r>
        <w:rPr>
          <w:b/>
          <w:lang w:val="sr-Cyrl-CS"/>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rsidR="00912B08" w:rsidRDefault="00912B08" w:rsidP="00912B08">
      <w:pPr>
        <w:jc w:val="both"/>
        <w:rPr>
          <w:b/>
          <w:lang w:val="sr-Cyrl-CS"/>
        </w:rPr>
      </w:pPr>
    </w:p>
    <w:p w:rsidR="00912B08" w:rsidRDefault="00912B08" w:rsidP="00912B08">
      <w:pPr>
        <w:jc w:val="both"/>
        <w:rPr>
          <w:b/>
        </w:rPr>
      </w:pPr>
      <w:r>
        <w:rPr>
          <w:b/>
          <w:lang w:val="sr-Cyrl-CS"/>
        </w:rPr>
        <w:t>а) Одредба Споразума и Прелазног споразума која се односе на нормативну садржину прописа,</w:t>
      </w:r>
    </w:p>
    <w:p w:rsidR="00912B08" w:rsidRDefault="00912B08" w:rsidP="00912B08">
      <w:pPr>
        <w:jc w:val="both"/>
        <w:rPr>
          <w:b/>
        </w:rPr>
      </w:pPr>
    </w:p>
    <w:p w:rsidR="00912B08" w:rsidRDefault="00912B08" w:rsidP="00912B08">
      <w:pPr>
        <w:jc w:val="both"/>
        <w:rPr>
          <w:lang w:val="sr-Cyrl-CS"/>
        </w:rPr>
      </w:pPr>
      <w:r>
        <w:rPr>
          <w:lang w:val="sr-Cyrl-CS"/>
        </w:rPr>
        <w:t xml:space="preserve">Наслов </w:t>
      </w:r>
      <w:r>
        <w:t>VII</w:t>
      </w:r>
      <w:r>
        <w:rPr>
          <w:lang w:val="ru-RU"/>
        </w:rPr>
        <w:t xml:space="preserve">. – </w:t>
      </w:r>
      <w:r>
        <w:rPr>
          <w:lang w:val="sr-Cyrl-CS"/>
        </w:rPr>
        <w:t>Правосуђе, слободе и безбедност, у оквиру којег је члан 80 – Јачање институција и владавина права.</w:t>
      </w:r>
    </w:p>
    <w:p w:rsidR="00912B08" w:rsidRDefault="00912B08" w:rsidP="00912B08">
      <w:pPr>
        <w:jc w:val="both"/>
        <w:rPr>
          <w:b/>
        </w:rPr>
      </w:pPr>
    </w:p>
    <w:p w:rsidR="00912B08" w:rsidRDefault="00912B08" w:rsidP="00912B08">
      <w:pPr>
        <w:jc w:val="both"/>
        <w:rPr>
          <w:b/>
        </w:rPr>
      </w:pPr>
      <w:r>
        <w:rPr>
          <w:b/>
          <w:lang w:val="sr-Cyrl-CS"/>
        </w:rPr>
        <w:t>б) Прелазни рок за усклађивање законодавства према одредбама Споразума и Прелазног споразума,</w:t>
      </w:r>
    </w:p>
    <w:p w:rsidR="00912B08" w:rsidRDefault="00912B08" w:rsidP="00912B08">
      <w:pPr>
        <w:jc w:val="both"/>
        <w:rPr>
          <w:b/>
        </w:rPr>
      </w:pPr>
    </w:p>
    <w:p w:rsidR="00912B08" w:rsidRDefault="00912B08" w:rsidP="00912B08">
      <w:pPr>
        <w:jc w:val="both"/>
        <w:rPr>
          <w:b/>
        </w:rPr>
      </w:pPr>
      <w:r>
        <w:rPr>
          <w:b/>
          <w:lang w:val="sr-Cyrl-CS"/>
        </w:rPr>
        <w:t>в) Оцена испуњености обавезе које произлазе из наведене одредбе Споразума и Прелазног споразума,</w:t>
      </w:r>
    </w:p>
    <w:p w:rsidR="00912B08" w:rsidRDefault="00912B08" w:rsidP="00912B08">
      <w:pPr>
        <w:jc w:val="both"/>
        <w:rPr>
          <w:b/>
        </w:rPr>
      </w:pPr>
    </w:p>
    <w:p w:rsidR="00912B08" w:rsidRDefault="00912B08" w:rsidP="00912B08">
      <w:pPr>
        <w:jc w:val="both"/>
        <w:rPr>
          <w:lang w:val="sr-Cyrl-CS"/>
        </w:rPr>
      </w:pPr>
      <w:r>
        <w:rPr>
          <w:lang w:val="sr-Cyrl-CS"/>
        </w:rPr>
        <w:t xml:space="preserve">Наслов </w:t>
      </w:r>
      <w:r>
        <w:t>VII</w:t>
      </w:r>
      <w:r>
        <w:rPr>
          <w:lang w:val="ru-RU"/>
        </w:rPr>
        <w:t xml:space="preserve">. – </w:t>
      </w:r>
      <w:r>
        <w:rPr>
          <w:lang w:val="sr-Cyrl-CS"/>
        </w:rPr>
        <w:t>Правосуђе, слободе и безбедност, у оквиру којег је члан 80 – Јачање институција и владавина права.</w:t>
      </w:r>
    </w:p>
    <w:p w:rsidR="00912B08" w:rsidRDefault="00912B08" w:rsidP="00912B08">
      <w:pPr>
        <w:jc w:val="both"/>
        <w:rPr>
          <w:b/>
        </w:rPr>
      </w:pPr>
    </w:p>
    <w:p w:rsidR="00912B08" w:rsidRDefault="00912B08" w:rsidP="00912B08">
      <w:pPr>
        <w:jc w:val="both"/>
        <w:rPr>
          <w:b/>
        </w:rPr>
      </w:pPr>
      <w:r>
        <w:rPr>
          <w:b/>
          <w:lang w:val="sr-Cyrl-CS"/>
        </w:rPr>
        <w:t>г) Разлози за делимично испуњавање, односно неиспуњавање обавеза које произлазе из наведене одредбе Споразума и Прелазног споразума,</w:t>
      </w:r>
    </w:p>
    <w:p w:rsidR="00912B08" w:rsidRDefault="00912B08" w:rsidP="00912B08">
      <w:pPr>
        <w:jc w:val="both"/>
        <w:rPr>
          <w:b/>
        </w:rPr>
      </w:pPr>
    </w:p>
    <w:p w:rsidR="00912B08" w:rsidRDefault="00912B08" w:rsidP="00912B08">
      <w:pPr>
        <w:jc w:val="both"/>
        <w:rPr>
          <w:b/>
          <w:lang w:val="sr-Cyrl-CS"/>
        </w:rPr>
      </w:pPr>
      <w:r>
        <w:rPr>
          <w:b/>
          <w:lang w:val="sr-Cyrl-CS"/>
        </w:rPr>
        <w:t>д) Веза са Националним програмом за усвајање правних тековина Европске уније.</w:t>
      </w:r>
    </w:p>
    <w:p w:rsidR="00912B08" w:rsidRDefault="00912B08" w:rsidP="00912B08">
      <w:pPr>
        <w:jc w:val="both"/>
        <w:rPr>
          <w:b/>
        </w:rPr>
      </w:pPr>
    </w:p>
    <w:p w:rsidR="00912B08" w:rsidRDefault="00912B08" w:rsidP="00912B08">
      <w:pPr>
        <w:tabs>
          <w:tab w:val="left" w:pos="855"/>
        </w:tabs>
        <w:jc w:val="both"/>
        <w:rPr>
          <w:lang w:val="sr-Cyrl-CS"/>
        </w:rPr>
      </w:pPr>
      <w:r>
        <w:rPr>
          <w:lang w:val="sr-Cyrl-CS"/>
        </w:rPr>
        <w:t>Предлог закона о допунама Закона о организацији и надлежности државних органа у поступку за ратне злочине предвиђен је Националним програмом за усвајање правних тековина Европске уније.</w:t>
      </w:r>
    </w:p>
    <w:p w:rsidR="00912B08" w:rsidRDefault="00912B08" w:rsidP="00912B08">
      <w:pPr>
        <w:jc w:val="both"/>
        <w:rPr>
          <w:b/>
        </w:rPr>
      </w:pPr>
    </w:p>
    <w:p w:rsidR="00912B08" w:rsidRDefault="00912B08" w:rsidP="00912B08">
      <w:pPr>
        <w:tabs>
          <w:tab w:val="num" w:pos="567"/>
        </w:tabs>
        <w:ind w:left="567" w:right="-720" w:hanging="540"/>
        <w:rPr>
          <w:color w:val="000000"/>
          <w:lang w:val="sr-Cyrl-CS"/>
        </w:rPr>
      </w:pPr>
      <w:r>
        <w:rPr>
          <w:color w:val="000000"/>
        </w:rPr>
        <w:t xml:space="preserve"> - /</w:t>
      </w:r>
    </w:p>
    <w:p w:rsidR="00912B08" w:rsidRDefault="00912B08" w:rsidP="00912B08">
      <w:pPr>
        <w:tabs>
          <w:tab w:val="num" w:pos="567"/>
        </w:tabs>
        <w:ind w:left="567" w:right="-720" w:hanging="540"/>
        <w:rPr>
          <w:color w:val="000000"/>
          <w:lang w:val="sr-Cyrl-CS"/>
        </w:rPr>
      </w:pPr>
    </w:p>
    <w:p w:rsidR="00912B08" w:rsidRDefault="00912B08" w:rsidP="00912B08">
      <w:pPr>
        <w:tabs>
          <w:tab w:val="num" w:pos="567"/>
        </w:tabs>
        <w:ind w:left="567" w:right="-720" w:hanging="540"/>
        <w:rPr>
          <w:color w:val="000000"/>
          <w:lang w:val="sr-Cyrl-CS"/>
        </w:rPr>
      </w:pPr>
    </w:p>
    <w:p w:rsidR="00912B08" w:rsidRDefault="00912B08" w:rsidP="00912B08">
      <w:pPr>
        <w:tabs>
          <w:tab w:val="num" w:pos="567"/>
        </w:tabs>
        <w:ind w:left="567" w:right="-720" w:hanging="540"/>
        <w:rPr>
          <w:color w:val="000000"/>
          <w:lang w:val="sr-Cyrl-CS"/>
        </w:rPr>
      </w:pPr>
    </w:p>
    <w:p w:rsidR="00912B08" w:rsidRDefault="00912B08" w:rsidP="00912B08">
      <w:pPr>
        <w:tabs>
          <w:tab w:val="num" w:pos="567"/>
        </w:tabs>
        <w:ind w:left="567" w:right="-720" w:hanging="540"/>
        <w:rPr>
          <w:color w:val="000000"/>
          <w:lang w:val="sr-Cyrl-CS"/>
        </w:rPr>
      </w:pPr>
    </w:p>
    <w:p w:rsidR="00912B08" w:rsidRDefault="00912B08" w:rsidP="00912B08">
      <w:pPr>
        <w:jc w:val="both"/>
        <w:rPr>
          <w:b/>
          <w:lang w:val="sr-Cyrl-CS"/>
        </w:rPr>
      </w:pPr>
    </w:p>
    <w:p w:rsidR="00912B08" w:rsidRDefault="00912B08" w:rsidP="00912B08">
      <w:pPr>
        <w:jc w:val="both"/>
        <w:rPr>
          <w:b/>
          <w:lang w:val="sr-Cyrl-CS"/>
        </w:rPr>
      </w:pPr>
      <w:r>
        <w:rPr>
          <w:b/>
          <w:lang w:val="sr-Cyrl-CS"/>
        </w:rPr>
        <w:t xml:space="preserve">4. </w:t>
      </w:r>
      <w:r>
        <w:rPr>
          <w:b/>
        </w:rPr>
        <w:t>Усклађеност</w:t>
      </w:r>
      <w:r>
        <w:rPr>
          <w:b/>
          <w:lang w:val="sr-Cyrl-CS"/>
        </w:rPr>
        <w:t xml:space="preserve"> прописа </w:t>
      </w:r>
      <w:r>
        <w:rPr>
          <w:b/>
        </w:rPr>
        <w:t>с</w:t>
      </w:r>
      <w:r>
        <w:rPr>
          <w:b/>
          <w:lang w:val="sr-Cyrl-CS"/>
        </w:rPr>
        <w:t>а прописима Европске уније:</w:t>
      </w:r>
    </w:p>
    <w:p w:rsidR="00912B08" w:rsidRDefault="00912B08" w:rsidP="00912B08">
      <w:pPr>
        <w:jc w:val="both"/>
        <w:rPr>
          <w:lang w:val="sr-Cyrl-CS"/>
        </w:rPr>
      </w:pPr>
    </w:p>
    <w:p w:rsidR="00912B08" w:rsidRDefault="00912B08" w:rsidP="00912B08">
      <w:pPr>
        <w:jc w:val="both"/>
        <w:rPr>
          <w:b/>
          <w:lang w:val="sr-Cyrl-CS"/>
        </w:rPr>
      </w:pPr>
      <w:r>
        <w:rPr>
          <w:b/>
        </w:rPr>
        <w:t xml:space="preserve">а) </w:t>
      </w:r>
      <w:r>
        <w:rPr>
          <w:b/>
          <w:lang w:val="sr-Cyrl-CS"/>
        </w:rPr>
        <w:t xml:space="preserve">Навођење одредби </w:t>
      </w:r>
      <w:r>
        <w:rPr>
          <w:b/>
        </w:rPr>
        <w:t>примарних извора права Е</w:t>
      </w:r>
      <w:r>
        <w:rPr>
          <w:b/>
          <w:lang w:val="sr-Cyrl-CS"/>
        </w:rPr>
        <w:t xml:space="preserve">вропске уније и оцене усклађености са њима, </w:t>
      </w:r>
    </w:p>
    <w:p w:rsidR="00912B08" w:rsidRDefault="00912B08" w:rsidP="00912B08">
      <w:pPr>
        <w:jc w:val="both"/>
        <w:rPr>
          <w:b/>
          <w:lang w:val="ru-RU"/>
        </w:rPr>
      </w:pPr>
      <w:r>
        <w:rPr>
          <w:b/>
        </w:rPr>
        <w:t xml:space="preserve">б) </w:t>
      </w:r>
      <w:r>
        <w:rPr>
          <w:b/>
          <w:lang w:val="sr-Cyrl-CS"/>
        </w:rPr>
        <w:t>Навођење</w:t>
      </w:r>
      <w:r>
        <w:rPr>
          <w:b/>
        </w:rPr>
        <w:t xml:space="preserve"> секундарних извора права Е</w:t>
      </w:r>
      <w:r>
        <w:rPr>
          <w:b/>
          <w:lang w:val="sr-Cyrl-CS"/>
        </w:rPr>
        <w:t>вропске уније и оцене усклађености са њима,</w:t>
      </w:r>
    </w:p>
    <w:p w:rsidR="00912B08" w:rsidRDefault="00912B08" w:rsidP="00912B08">
      <w:pPr>
        <w:jc w:val="both"/>
        <w:rPr>
          <w:b/>
          <w:lang w:val="sr-Cyrl-CS"/>
        </w:rPr>
      </w:pPr>
      <w:r>
        <w:rPr>
          <w:b/>
          <w:lang w:val="sr-Cyrl-CS"/>
        </w:rPr>
        <w:t>в</w:t>
      </w:r>
      <w:r>
        <w:rPr>
          <w:b/>
        </w:rPr>
        <w:t xml:space="preserve">) </w:t>
      </w:r>
      <w:r>
        <w:rPr>
          <w:b/>
          <w:lang w:val="sr-Cyrl-CS"/>
        </w:rPr>
        <w:t xml:space="preserve">Навођење осталих извора права Европске уније и усклађеност са њима, </w:t>
      </w:r>
    </w:p>
    <w:p w:rsidR="00912B08" w:rsidRDefault="00912B08" w:rsidP="00912B08">
      <w:pPr>
        <w:jc w:val="both"/>
        <w:rPr>
          <w:b/>
          <w:lang w:val="sr-Cyrl-CS"/>
        </w:rPr>
      </w:pPr>
      <w:r>
        <w:rPr>
          <w:b/>
          <w:lang w:val="sr-Cyrl-CS"/>
        </w:rPr>
        <w:lastRenderedPageBreak/>
        <w:t>г</w:t>
      </w:r>
      <w:r>
        <w:rPr>
          <w:b/>
        </w:rPr>
        <w:t xml:space="preserve">) </w:t>
      </w:r>
      <w:r>
        <w:rPr>
          <w:b/>
          <w:lang w:val="sr-Cyrl-CS"/>
        </w:rPr>
        <w:t>Р</w:t>
      </w:r>
      <w:r>
        <w:rPr>
          <w:b/>
        </w:rPr>
        <w:t>азлози за дел</w:t>
      </w:r>
      <w:r>
        <w:rPr>
          <w:b/>
          <w:lang w:val="sr-Cyrl-CS"/>
        </w:rPr>
        <w:t>и</w:t>
      </w:r>
      <w:r>
        <w:rPr>
          <w:b/>
        </w:rPr>
        <w:t>мичну усклађеност</w:t>
      </w:r>
      <w:r>
        <w:rPr>
          <w:b/>
          <w:lang w:val="sr-Cyrl-CS"/>
        </w:rPr>
        <w:t>,</w:t>
      </w:r>
      <w:r>
        <w:rPr>
          <w:b/>
        </w:rPr>
        <w:t xml:space="preserve"> односно неусклађеност</w:t>
      </w:r>
      <w:r>
        <w:rPr>
          <w:b/>
          <w:lang w:val="sr-Cyrl-CS"/>
        </w:rPr>
        <w:t>,</w:t>
      </w:r>
    </w:p>
    <w:p w:rsidR="00912B08" w:rsidRDefault="00912B08" w:rsidP="00912B08">
      <w:pPr>
        <w:jc w:val="both"/>
        <w:rPr>
          <w:lang w:val="sr-Cyrl-CS"/>
        </w:rPr>
      </w:pPr>
      <w:r>
        <w:rPr>
          <w:b/>
          <w:lang w:val="sr-Cyrl-CS"/>
        </w:rPr>
        <w:t>д</w:t>
      </w:r>
      <w:r>
        <w:rPr>
          <w:b/>
        </w:rPr>
        <w:t>)</w:t>
      </w:r>
      <w:r>
        <w:rPr>
          <w:b/>
          <w:lang w:val="sr-Cyrl-CS"/>
        </w:rPr>
        <w:t xml:space="preserve"> Р</w:t>
      </w:r>
      <w:r>
        <w:rPr>
          <w:b/>
        </w:rPr>
        <w:t xml:space="preserve">ок у којем је предвиђено постизање потпуне усклађености </w:t>
      </w:r>
      <w:r>
        <w:rPr>
          <w:b/>
          <w:lang w:val="sr-Cyrl-CS"/>
        </w:rPr>
        <w:t>прописа</w:t>
      </w:r>
      <w:r>
        <w:rPr>
          <w:b/>
        </w:rPr>
        <w:t xml:space="preserve"> с</w:t>
      </w:r>
      <w:r>
        <w:rPr>
          <w:b/>
          <w:lang w:val="sr-Cyrl-CS"/>
        </w:rPr>
        <w:t>а прописима Европске уније.</w:t>
      </w:r>
      <w:r>
        <w:rPr>
          <w:lang w:val="sr-Cyrl-CS"/>
        </w:rPr>
        <w:t xml:space="preserve"> </w:t>
      </w:r>
    </w:p>
    <w:p w:rsidR="00912B08" w:rsidRDefault="00912B08" w:rsidP="00912B08">
      <w:pPr>
        <w:jc w:val="both"/>
        <w:rPr>
          <w:b/>
          <w:lang w:val="sr-Latn-CS"/>
        </w:rPr>
      </w:pPr>
    </w:p>
    <w:p w:rsidR="00912B08" w:rsidRDefault="00912B08" w:rsidP="00912B08">
      <w:pPr>
        <w:jc w:val="both"/>
        <w:rPr>
          <w:b/>
          <w:lang w:val="sr-Latn-CS"/>
        </w:rPr>
      </w:pPr>
      <w:r>
        <w:rPr>
          <w:b/>
          <w:lang w:val="sr-Latn-CS"/>
        </w:rPr>
        <w:t>- /</w:t>
      </w:r>
    </w:p>
    <w:p w:rsidR="00912B08" w:rsidRDefault="00912B08" w:rsidP="00912B08">
      <w:pPr>
        <w:jc w:val="both"/>
        <w:rPr>
          <w:b/>
          <w:lang w:val="sr-Latn-CS"/>
        </w:rPr>
      </w:pPr>
    </w:p>
    <w:p w:rsidR="00912B08" w:rsidRDefault="00912B08" w:rsidP="00912B08">
      <w:pPr>
        <w:jc w:val="both"/>
        <w:rPr>
          <w:b/>
          <w:color w:val="000000"/>
          <w:lang w:val="ru-RU"/>
        </w:rPr>
      </w:pPr>
      <w:r>
        <w:rPr>
          <w:b/>
          <w:lang w:val="sr-Cyrl-CS"/>
        </w:rPr>
        <w:t>5</w:t>
      </w:r>
      <w:r>
        <w:rPr>
          <w:b/>
          <w:lang w:val="ru-RU"/>
        </w:rPr>
        <w:t xml:space="preserve">. Ако не постоје  одговарајуће надлежности </w:t>
      </w:r>
      <w:r>
        <w:rPr>
          <w:b/>
          <w:color w:val="000000"/>
          <w:lang w:val="ru-RU"/>
        </w:rPr>
        <w:t>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треба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912B08" w:rsidRDefault="00912B08" w:rsidP="00912B08">
      <w:pPr>
        <w:jc w:val="both"/>
        <w:rPr>
          <w:b/>
          <w:color w:val="000000"/>
          <w:lang w:val="ru-RU"/>
        </w:rPr>
      </w:pPr>
    </w:p>
    <w:p w:rsidR="00912B08" w:rsidRDefault="00912B08" w:rsidP="00912B08">
      <w:pPr>
        <w:jc w:val="both"/>
        <w:rPr>
          <w:color w:val="000000"/>
          <w:lang w:val="ru-RU"/>
        </w:rPr>
      </w:pPr>
      <w:r>
        <w:rPr>
          <w:color w:val="000000"/>
          <w:lang w:val="ru-RU"/>
        </w:rPr>
        <w:t xml:space="preserve">Не постоје одговарајући прописи Европске уније са којима је потребно обезбедити усклађеност Закона о допунама </w:t>
      </w:r>
      <w:r>
        <w:rPr>
          <w:color w:val="000000"/>
          <w:lang w:val="sr-Cyrl-CS"/>
        </w:rPr>
        <w:t xml:space="preserve">Закона о </w:t>
      </w:r>
      <w:r>
        <w:rPr>
          <w:lang w:val="sr-Cyrl-CS"/>
        </w:rPr>
        <w:t>организацији и надлежности државних органа у поступку за ратне злочине</w:t>
      </w:r>
      <w:r>
        <w:rPr>
          <w:color w:val="000000"/>
          <w:lang w:val="ru-RU"/>
        </w:rPr>
        <w:t>, с обзиром да су предметне измене малог обима и да нису релевантне са становишта права Европске уније.</w:t>
      </w:r>
    </w:p>
    <w:p w:rsidR="00912B08" w:rsidRDefault="00912B08" w:rsidP="00912B08">
      <w:pPr>
        <w:jc w:val="both"/>
        <w:rPr>
          <w:lang w:val="sr-Cyrl-CS"/>
        </w:rPr>
      </w:pPr>
    </w:p>
    <w:p w:rsidR="00912B08" w:rsidRDefault="00912B08" w:rsidP="00912B08">
      <w:pPr>
        <w:jc w:val="both"/>
        <w:rPr>
          <w:b/>
          <w:lang w:val="hr-HR"/>
        </w:rPr>
      </w:pPr>
      <w:r>
        <w:rPr>
          <w:b/>
          <w:lang w:val="sr-Cyrl-CS"/>
        </w:rPr>
        <w:t>6</w:t>
      </w:r>
      <w:r>
        <w:rPr>
          <w:b/>
        </w:rPr>
        <w:t xml:space="preserve">. </w:t>
      </w:r>
      <w:r>
        <w:rPr>
          <w:b/>
          <w:lang w:val="sr-Cyrl-CS"/>
        </w:rPr>
        <w:t xml:space="preserve">Да </w:t>
      </w:r>
      <w:r>
        <w:rPr>
          <w:b/>
        </w:rPr>
        <w:t>ли</w:t>
      </w:r>
      <w:r>
        <w:rPr>
          <w:b/>
          <w:lang w:val="sr-Cyrl-CS"/>
        </w:rPr>
        <w:t xml:space="preserve"> су претходно</w:t>
      </w:r>
      <w:r>
        <w:rPr>
          <w:b/>
        </w:rPr>
        <w:t xml:space="preserve"> наведени извори права ЕУ преведени на </w:t>
      </w:r>
      <w:r>
        <w:rPr>
          <w:b/>
          <w:lang w:val="sr-Cyrl-CS"/>
        </w:rPr>
        <w:t>срп</w:t>
      </w:r>
      <w:r>
        <w:rPr>
          <w:b/>
        </w:rPr>
        <w:t>ски језик?</w:t>
      </w:r>
    </w:p>
    <w:p w:rsidR="00912B08" w:rsidRDefault="00912B08" w:rsidP="00912B08">
      <w:pPr>
        <w:jc w:val="both"/>
        <w:rPr>
          <w:b/>
          <w:lang w:val="sr-Cyrl-CS"/>
        </w:rPr>
      </w:pPr>
    </w:p>
    <w:p w:rsidR="00912B08" w:rsidRDefault="00912B08" w:rsidP="00912B08">
      <w:pPr>
        <w:jc w:val="both"/>
        <w:rPr>
          <w:b/>
          <w:lang w:val="sr-Cyrl-CS"/>
        </w:rPr>
      </w:pPr>
      <w:r>
        <w:rPr>
          <w:b/>
        </w:rPr>
        <w:t xml:space="preserve">- </w:t>
      </w:r>
      <w:r>
        <w:rPr>
          <w:lang w:val="sr-Cyrl-CS"/>
        </w:rPr>
        <w:t>/</w:t>
      </w:r>
    </w:p>
    <w:p w:rsidR="00912B08" w:rsidRDefault="00912B08" w:rsidP="00912B08">
      <w:pPr>
        <w:jc w:val="both"/>
        <w:rPr>
          <w:b/>
          <w:lang w:val="sr-Cyrl-CS"/>
        </w:rPr>
      </w:pPr>
    </w:p>
    <w:p w:rsidR="00912B08" w:rsidRDefault="00912B08" w:rsidP="00912B08">
      <w:pPr>
        <w:jc w:val="both"/>
        <w:rPr>
          <w:b/>
          <w:lang w:val="sr-Cyrl-CS"/>
        </w:rPr>
      </w:pPr>
      <w:r>
        <w:rPr>
          <w:b/>
          <w:lang w:val="sr-Cyrl-CS"/>
        </w:rPr>
        <w:t>7</w:t>
      </w:r>
      <w:r>
        <w:rPr>
          <w:b/>
        </w:rPr>
        <w:t xml:space="preserve">. </w:t>
      </w:r>
      <w:r>
        <w:rPr>
          <w:b/>
          <w:lang w:val="sr-Cyrl-CS"/>
        </w:rPr>
        <w:t>Да ли је</w:t>
      </w:r>
      <w:r>
        <w:rPr>
          <w:b/>
        </w:rPr>
        <w:t xml:space="preserve"> пропис преведен на неки службени језик ЕУ?</w:t>
      </w:r>
    </w:p>
    <w:p w:rsidR="00912B08" w:rsidRDefault="00912B08" w:rsidP="00912B08">
      <w:pPr>
        <w:jc w:val="both"/>
        <w:rPr>
          <w:b/>
          <w:lang w:val="sr-Cyrl-CS"/>
        </w:rPr>
      </w:pPr>
    </w:p>
    <w:p w:rsidR="00912B08" w:rsidRDefault="00912B08" w:rsidP="00912B08">
      <w:pPr>
        <w:jc w:val="both"/>
        <w:rPr>
          <w:b/>
          <w:lang w:val="sr-Cyrl-CS"/>
        </w:rPr>
      </w:pPr>
      <w:r>
        <w:rPr>
          <w:b/>
          <w:lang w:val="sr-Cyrl-CS"/>
        </w:rPr>
        <w:t xml:space="preserve">- </w:t>
      </w:r>
      <w:r>
        <w:rPr>
          <w:lang w:val="sr-Cyrl-CS"/>
        </w:rPr>
        <w:t>Не.</w:t>
      </w:r>
    </w:p>
    <w:p w:rsidR="00912B08" w:rsidRDefault="00912B08" w:rsidP="00912B08">
      <w:pPr>
        <w:jc w:val="both"/>
        <w:rPr>
          <w:b/>
        </w:rPr>
      </w:pPr>
    </w:p>
    <w:p w:rsidR="00912B08" w:rsidRDefault="00912B08" w:rsidP="00912B08">
      <w:pPr>
        <w:jc w:val="both"/>
        <w:rPr>
          <w:b/>
          <w:lang w:val="hr-HR"/>
        </w:rPr>
      </w:pPr>
      <w:r>
        <w:rPr>
          <w:b/>
          <w:lang w:val="sr-Cyrl-CS"/>
        </w:rPr>
        <w:t>8</w:t>
      </w:r>
      <w:r>
        <w:rPr>
          <w:b/>
        </w:rPr>
        <w:t xml:space="preserve">. </w:t>
      </w:r>
      <w:r>
        <w:rPr>
          <w:b/>
          <w:lang w:val="sr-Cyrl-CS"/>
        </w:rPr>
        <w:t>Учешће</w:t>
      </w:r>
      <w:r>
        <w:rPr>
          <w:b/>
        </w:rPr>
        <w:t xml:space="preserve"> кон</w:t>
      </w:r>
      <w:r>
        <w:rPr>
          <w:b/>
          <w:lang w:val="sr-Cyrl-CS"/>
        </w:rPr>
        <w:t>с</w:t>
      </w:r>
      <w:r>
        <w:rPr>
          <w:b/>
        </w:rPr>
        <w:t>ултаната у изради прописа</w:t>
      </w:r>
      <w:r>
        <w:rPr>
          <w:b/>
          <w:lang w:val="sr-Cyrl-CS"/>
        </w:rPr>
        <w:t xml:space="preserve"> </w:t>
      </w:r>
      <w:r>
        <w:rPr>
          <w:b/>
        </w:rPr>
        <w:t>и њихово мишљење о усклађености</w:t>
      </w:r>
    </w:p>
    <w:p w:rsidR="00912B08" w:rsidRDefault="00912B08" w:rsidP="00912B08">
      <w:pPr>
        <w:jc w:val="both"/>
        <w:rPr>
          <w:b/>
          <w:lang w:val="sr-Latn-CS"/>
        </w:rPr>
      </w:pPr>
    </w:p>
    <w:p w:rsidR="000336BE" w:rsidRPr="00097521" w:rsidRDefault="00912B08" w:rsidP="00A507FB">
      <w:pPr>
        <w:jc w:val="both"/>
        <w:rPr>
          <w:rFonts w:ascii="Times New Roman" w:hAnsi="Times New Roman"/>
          <w:sz w:val="24"/>
          <w:szCs w:val="24"/>
        </w:rPr>
      </w:pPr>
      <w:r>
        <w:rPr>
          <w:lang/>
        </w:rPr>
        <w:t xml:space="preserve">У поступку припреме </w:t>
      </w:r>
      <w:r>
        <w:rPr>
          <w:lang w:val="sr-Cyrl-CS"/>
        </w:rPr>
        <w:t>Предлога</w:t>
      </w:r>
      <w:r>
        <w:rPr>
          <w:lang/>
        </w:rPr>
        <w:t xml:space="preserve"> закона није остварена сарадња са Европском комисијом с обзиром да за израду предметног акта није било неопходно остварити овај конкретни облик сарадње са наведеном европском институцијом.</w:t>
      </w:r>
    </w:p>
    <w:sectPr w:rsidR="000336BE" w:rsidRPr="00097521" w:rsidSect="00BB708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rsids>
    <w:rsidRoot w:val="00ED18CB"/>
    <w:rsid w:val="000336BE"/>
    <w:rsid w:val="00097521"/>
    <w:rsid w:val="000B3454"/>
    <w:rsid w:val="002E066F"/>
    <w:rsid w:val="00321354"/>
    <w:rsid w:val="004072C7"/>
    <w:rsid w:val="00503833"/>
    <w:rsid w:val="005E2873"/>
    <w:rsid w:val="0072074F"/>
    <w:rsid w:val="007D2FD7"/>
    <w:rsid w:val="008B2243"/>
    <w:rsid w:val="00912B08"/>
    <w:rsid w:val="009C1388"/>
    <w:rsid w:val="00A10D1B"/>
    <w:rsid w:val="00A27D47"/>
    <w:rsid w:val="00A507FB"/>
    <w:rsid w:val="00AB0DBD"/>
    <w:rsid w:val="00B340E7"/>
    <w:rsid w:val="00BB7081"/>
    <w:rsid w:val="00E506FC"/>
    <w:rsid w:val="00ED18CB"/>
    <w:rsid w:val="00F16E2A"/>
    <w:rsid w:val="00F775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08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uiPriority w:val="99"/>
    <w:rsid w:val="00097521"/>
    <w:pPr>
      <w:spacing w:before="100" w:beforeAutospacing="1" w:after="100" w:afterAutospacing="1" w:line="240" w:lineRule="auto"/>
    </w:pPr>
    <w:rPr>
      <w:rFonts w:ascii="Arial" w:eastAsia="Times New Roman" w:hAnsi="Arial" w:cs="Arial"/>
    </w:rPr>
  </w:style>
  <w:style w:type="paragraph" w:styleId="FootnoteText">
    <w:name w:val="footnote text"/>
    <w:basedOn w:val="Normal"/>
    <w:link w:val="FootnoteTextChar"/>
    <w:semiHidden/>
    <w:unhideWhenUsed/>
    <w:rsid w:val="00912B08"/>
    <w:pPr>
      <w:spacing w:after="0" w:line="240" w:lineRule="atLeast"/>
      <w:jc w:val="both"/>
    </w:pPr>
    <w:rPr>
      <w:rFonts w:ascii="Times New Roman" w:eastAsia="Times New Roman" w:hAnsi="Times New Roman"/>
      <w:sz w:val="24"/>
      <w:szCs w:val="20"/>
      <w:lang w:val="hu-HU" w:eastAsia="hr-HR"/>
    </w:rPr>
  </w:style>
  <w:style w:type="character" w:customStyle="1" w:styleId="FootnoteTextChar">
    <w:name w:val="Footnote Text Char"/>
    <w:basedOn w:val="DefaultParagraphFont"/>
    <w:link w:val="FootnoteText"/>
    <w:semiHidden/>
    <w:rsid w:val="00912B08"/>
    <w:rPr>
      <w:rFonts w:ascii="Times New Roman" w:eastAsia="Times New Roman" w:hAnsi="Times New Roman"/>
      <w:sz w:val="24"/>
      <w:szCs w:val="20"/>
      <w:lang w:val="hu-HU" w:eastAsia="hr-HR"/>
    </w:rPr>
  </w:style>
  <w:style w:type="character" w:styleId="Strong">
    <w:name w:val="Strong"/>
    <w:basedOn w:val="DefaultParagraphFont"/>
    <w:qFormat/>
    <w:locked/>
    <w:rsid w:val="00912B0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08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uiPriority w:val="99"/>
    <w:rsid w:val="00097521"/>
    <w:pPr>
      <w:spacing w:before="100" w:beforeAutospacing="1" w:after="100" w:afterAutospacing="1" w:line="240" w:lineRule="auto"/>
    </w:pPr>
    <w:rPr>
      <w:rFonts w:ascii="Arial" w:eastAsia="Times New Roman" w:hAnsi="Arial" w:cs="Arial"/>
    </w:rPr>
  </w:style>
  <w:style w:type="paragraph" w:styleId="FootnoteText">
    <w:name w:val="footnote text"/>
    <w:basedOn w:val="Normal"/>
    <w:link w:val="FootnoteTextChar"/>
    <w:semiHidden/>
    <w:unhideWhenUsed/>
    <w:rsid w:val="00912B08"/>
    <w:pPr>
      <w:spacing w:after="0" w:line="240" w:lineRule="atLeast"/>
      <w:jc w:val="both"/>
    </w:pPr>
    <w:rPr>
      <w:rFonts w:ascii="Times New Roman" w:eastAsia="Times New Roman" w:hAnsi="Times New Roman"/>
      <w:sz w:val="24"/>
      <w:szCs w:val="20"/>
      <w:lang w:val="hu-HU" w:eastAsia="hr-HR"/>
    </w:rPr>
  </w:style>
  <w:style w:type="character" w:customStyle="1" w:styleId="FootnoteTextChar">
    <w:name w:val="Footnote Text Char"/>
    <w:basedOn w:val="DefaultParagraphFont"/>
    <w:link w:val="FootnoteText"/>
    <w:semiHidden/>
    <w:rsid w:val="00912B08"/>
    <w:rPr>
      <w:rFonts w:ascii="Times New Roman" w:eastAsia="Times New Roman" w:hAnsi="Times New Roman"/>
      <w:sz w:val="24"/>
      <w:szCs w:val="20"/>
      <w:lang w:val="hu-HU" w:eastAsia="hr-HR"/>
    </w:rPr>
  </w:style>
  <w:style w:type="character" w:styleId="Strong">
    <w:name w:val="Strong"/>
    <w:basedOn w:val="DefaultParagraphFont"/>
    <w:qFormat/>
    <w:locked/>
    <w:rsid w:val="00912B08"/>
    <w:rPr>
      <w:b/>
      <w:bCs/>
    </w:rPr>
  </w:style>
</w:styles>
</file>

<file path=word/webSettings.xml><?xml version="1.0" encoding="utf-8"?>
<w:webSettings xmlns:r="http://schemas.openxmlformats.org/officeDocument/2006/relationships" xmlns:w="http://schemas.openxmlformats.org/wordprocessingml/2006/main">
  <w:divs>
    <w:div w:id="137845703">
      <w:bodyDiv w:val="1"/>
      <w:marLeft w:val="0"/>
      <w:marRight w:val="0"/>
      <w:marTop w:val="0"/>
      <w:marBottom w:val="0"/>
      <w:divBdr>
        <w:top w:val="none" w:sz="0" w:space="0" w:color="auto"/>
        <w:left w:val="none" w:sz="0" w:space="0" w:color="auto"/>
        <w:bottom w:val="none" w:sz="0" w:space="0" w:color="auto"/>
        <w:right w:val="none" w:sz="0" w:space="0" w:color="auto"/>
      </w:divBdr>
    </w:div>
    <w:div w:id="554852817">
      <w:marLeft w:val="0"/>
      <w:marRight w:val="0"/>
      <w:marTop w:val="0"/>
      <w:marBottom w:val="0"/>
      <w:divBdr>
        <w:top w:val="none" w:sz="0" w:space="0" w:color="auto"/>
        <w:left w:val="none" w:sz="0" w:space="0" w:color="auto"/>
        <w:bottom w:val="none" w:sz="0" w:space="0" w:color="auto"/>
        <w:right w:val="none" w:sz="0" w:space="0" w:color="auto"/>
      </w:divBdr>
    </w:div>
    <w:div w:id="176561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1392</Words>
  <Characters>7936</Characters>
  <Application>Microsoft Office Word</Application>
  <DocSecurity>0</DocSecurity>
  <Lines>66</Lines>
  <Paragraphs>18</Paragraphs>
  <ScaleCrop>false</ScaleCrop>
  <Company/>
  <LinksUpToDate>false</LinksUpToDate>
  <CharactersWithSpaces>9310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Zlatko PETROVIC</dc:creator>
  <cp:lastModifiedBy>jovan</cp:lastModifiedBy>
  <cp:revision>2</cp:revision>
  <cp:lastPrinted>2015-01-13T15:12:00Z</cp:lastPrinted>
  <dcterms:created xsi:type="dcterms:W3CDTF">2015-01-19T13:52:00Z</dcterms:created>
  <dcterms:modified xsi:type="dcterms:W3CDTF">2015-01-19T13:52:00Z</dcterms:modified>
</cp:coreProperties>
</file>