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2D93" w:rsidRPr="00D32D93" w:rsidRDefault="00D32D93" w:rsidP="00D32D93">
      <w:pPr>
        <w:autoSpaceDE w:val="0"/>
        <w:autoSpaceDN w:val="0"/>
        <w:adjustRightInd w:val="0"/>
        <w:spacing w:after="0" w:line="240" w:lineRule="auto"/>
        <w:jc w:val="center"/>
        <w:rPr>
          <w:rFonts w:ascii="Times New Roman" w:hAnsi="Times New Roman"/>
          <w:sz w:val="23"/>
          <w:szCs w:val="23"/>
          <w:u w:val="single"/>
        </w:rPr>
      </w:pPr>
    </w:p>
    <w:p w:rsidR="00D32D93" w:rsidRPr="00D32D93" w:rsidRDefault="00D32D93" w:rsidP="00D32D93">
      <w:pPr>
        <w:autoSpaceDE w:val="0"/>
        <w:autoSpaceDN w:val="0"/>
        <w:adjustRightInd w:val="0"/>
        <w:spacing w:after="0" w:line="240" w:lineRule="auto"/>
        <w:jc w:val="center"/>
        <w:rPr>
          <w:rFonts w:ascii="Times New Roman" w:hAnsi="Times New Roman"/>
          <w:sz w:val="23"/>
          <w:szCs w:val="23"/>
          <w:u w:val="single"/>
        </w:rPr>
      </w:pPr>
    </w:p>
    <w:p w:rsidR="00DB5321" w:rsidRDefault="00DB5321">
      <w:pPr>
        <w:spacing w:after="0" w:line="240" w:lineRule="auto"/>
        <w:rPr>
          <w:rFonts w:ascii="Times New Roman" w:hAnsi="Times New Roman"/>
          <w:sz w:val="24"/>
          <w:szCs w:val="24"/>
          <w:u w:val="single"/>
        </w:rPr>
      </w:pPr>
    </w:p>
    <w:p w:rsidR="00D32D93" w:rsidRPr="00D32D93" w:rsidRDefault="00D32D93" w:rsidP="00D32D93">
      <w:pPr>
        <w:tabs>
          <w:tab w:val="left" w:pos="709"/>
          <w:tab w:val="left" w:pos="851"/>
        </w:tabs>
        <w:autoSpaceDE w:val="0"/>
        <w:autoSpaceDN w:val="0"/>
        <w:adjustRightInd w:val="0"/>
        <w:spacing w:after="0" w:line="240" w:lineRule="auto"/>
        <w:rPr>
          <w:rFonts w:ascii="Times New Roman" w:hAnsi="Times New Roman"/>
          <w:sz w:val="24"/>
          <w:szCs w:val="24"/>
          <w:u w:val="single"/>
          <w:lang w:val="sr-Cyrl-CS"/>
        </w:rPr>
      </w:pPr>
    </w:p>
    <w:p w:rsidR="00380AE5" w:rsidRPr="00F209F5" w:rsidRDefault="00380AE5" w:rsidP="000355F6">
      <w:pPr>
        <w:autoSpaceDE w:val="0"/>
        <w:autoSpaceDN w:val="0"/>
        <w:adjustRightInd w:val="0"/>
        <w:spacing w:after="0" w:line="240" w:lineRule="auto"/>
        <w:jc w:val="center"/>
        <w:rPr>
          <w:rFonts w:ascii="Times New Roman" w:hAnsi="Times New Roman"/>
          <w:sz w:val="23"/>
          <w:szCs w:val="23"/>
        </w:rPr>
      </w:pPr>
    </w:p>
    <w:p w:rsidR="00380AE5" w:rsidRPr="00F209F5" w:rsidRDefault="00380AE5" w:rsidP="000355F6">
      <w:pPr>
        <w:autoSpaceDE w:val="0"/>
        <w:autoSpaceDN w:val="0"/>
        <w:adjustRightInd w:val="0"/>
        <w:spacing w:after="0" w:line="240" w:lineRule="auto"/>
        <w:jc w:val="center"/>
        <w:rPr>
          <w:rFonts w:ascii="Times New Roman" w:hAnsi="Times New Roman"/>
          <w:sz w:val="23"/>
          <w:szCs w:val="23"/>
        </w:rPr>
      </w:pPr>
    </w:p>
    <w:p w:rsidR="00B473EB" w:rsidRPr="00237AC5" w:rsidRDefault="00237AC5" w:rsidP="000739C1">
      <w:pPr>
        <w:tabs>
          <w:tab w:val="left" w:pos="709"/>
          <w:tab w:val="left" w:pos="851"/>
        </w:tabs>
        <w:autoSpaceDE w:val="0"/>
        <w:autoSpaceDN w:val="0"/>
        <w:adjustRightInd w:val="0"/>
        <w:spacing w:after="0" w:line="240" w:lineRule="auto"/>
        <w:jc w:val="center"/>
        <w:rPr>
          <w:rFonts w:ascii="Times New Roman" w:hAnsi="Times New Roman"/>
          <w:sz w:val="24"/>
          <w:szCs w:val="24"/>
          <w:lang w:val="sr-Cyrl-RS"/>
        </w:rPr>
      </w:pPr>
      <w:r>
        <w:rPr>
          <w:rFonts w:ascii="Times New Roman" w:hAnsi="Times New Roman"/>
          <w:sz w:val="24"/>
          <w:szCs w:val="24"/>
          <w:lang w:val="sr-Cyrl-RS"/>
        </w:rPr>
        <w:t xml:space="preserve">ПРЕДЛОГ </w:t>
      </w:r>
      <w:r w:rsidR="00B473EB" w:rsidRPr="00F209F5">
        <w:rPr>
          <w:rFonts w:ascii="Times New Roman" w:hAnsi="Times New Roman"/>
          <w:sz w:val="24"/>
          <w:szCs w:val="24"/>
        </w:rPr>
        <w:t>ЗАКОН</w:t>
      </w:r>
      <w:r>
        <w:rPr>
          <w:rFonts w:ascii="Times New Roman" w:hAnsi="Times New Roman"/>
          <w:sz w:val="24"/>
          <w:szCs w:val="24"/>
          <w:lang w:val="sr-Cyrl-RS"/>
        </w:rPr>
        <w:t>А</w:t>
      </w:r>
    </w:p>
    <w:p w:rsidR="00B473EB" w:rsidRPr="00F209F5" w:rsidRDefault="00B473EB" w:rsidP="000355F6">
      <w:pPr>
        <w:autoSpaceDE w:val="0"/>
        <w:autoSpaceDN w:val="0"/>
        <w:adjustRightInd w:val="0"/>
        <w:spacing w:after="0" w:line="240" w:lineRule="auto"/>
        <w:jc w:val="center"/>
        <w:rPr>
          <w:rFonts w:ascii="Times New Roman" w:hAnsi="Times New Roman"/>
          <w:sz w:val="24"/>
          <w:szCs w:val="24"/>
          <w:lang w:val="sr-Cyrl-CS"/>
        </w:rPr>
      </w:pPr>
      <w:r w:rsidRPr="00F209F5">
        <w:rPr>
          <w:rFonts w:ascii="Times New Roman" w:hAnsi="Times New Roman"/>
          <w:sz w:val="24"/>
          <w:szCs w:val="24"/>
        </w:rPr>
        <w:t>О ИЗМЕНАМА И ДОПУНАМA ЗАКОНА О СТАНДАРДИЗАЦИЈИ</w:t>
      </w:r>
    </w:p>
    <w:p w:rsidR="00944091" w:rsidRPr="00F209F5" w:rsidRDefault="00944091" w:rsidP="000355F6">
      <w:pPr>
        <w:autoSpaceDE w:val="0"/>
        <w:autoSpaceDN w:val="0"/>
        <w:adjustRightInd w:val="0"/>
        <w:spacing w:after="0" w:line="240" w:lineRule="auto"/>
        <w:jc w:val="center"/>
        <w:rPr>
          <w:rFonts w:ascii="Times New Roman" w:hAnsi="Times New Roman"/>
          <w:sz w:val="24"/>
          <w:szCs w:val="24"/>
          <w:lang w:val="sr-Cyrl-CS"/>
        </w:rPr>
      </w:pPr>
    </w:p>
    <w:p w:rsidR="00944091" w:rsidRPr="00F209F5" w:rsidRDefault="00944091" w:rsidP="000355F6">
      <w:pPr>
        <w:autoSpaceDE w:val="0"/>
        <w:autoSpaceDN w:val="0"/>
        <w:adjustRightInd w:val="0"/>
        <w:spacing w:after="0" w:line="240" w:lineRule="auto"/>
        <w:jc w:val="center"/>
        <w:rPr>
          <w:rFonts w:ascii="Times New Roman" w:hAnsi="Times New Roman"/>
          <w:sz w:val="24"/>
          <w:szCs w:val="24"/>
          <w:lang w:val="sr-Cyrl-CS"/>
        </w:rPr>
      </w:pPr>
    </w:p>
    <w:p w:rsidR="00B473EB" w:rsidRPr="0096434D" w:rsidRDefault="00B473EB" w:rsidP="003334CE">
      <w:pPr>
        <w:autoSpaceDE w:val="0"/>
        <w:autoSpaceDN w:val="0"/>
        <w:adjustRightInd w:val="0"/>
        <w:spacing w:after="120" w:line="240" w:lineRule="auto"/>
        <w:jc w:val="center"/>
        <w:rPr>
          <w:rFonts w:ascii="Times New Roman" w:hAnsi="Times New Roman"/>
          <w:sz w:val="24"/>
          <w:szCs w:val="24"/>
        </w:rPr>
      </w:pPr>
      <w:r w:rsidRPr="0096434D">
        <w:rPr>
          <w:rFonts w:ascii="Times New Roman" w:hAnsi="Times New Roman"/>
          <w:sz w:val="24"/>
          <w:szCs w:val="24"/>
        </w:rPr>
        <w:t>Члан 1.</w:t>
      </w:r>
    </w:p>
    <w:p w:rsidR="003334CE" w:rsidRPr="000C08BF" w:rsidRDefault="003334CE" w:rsidP="003334CE">
      <w:pPr>
        <w:tabs>
          <w:tab w:val="left" w:pos="709"/>
          <w:tab w:val="left" w:pos="851"/>
        </w:tabs>
        <w:autoSpaceDE w:val="0"/>
        <w:autoSpaceDN w:val="0"/>
        <w:adjustRightInd w:val="0"/>
        <w:spacing w:after="0" w:line="240" w:lineRule="auto"/>
        <w:jc w:val="both"/>
        <w:rPr>
          <w:rFonts w:ascii="Times New Roman" w:hAnsi="Times New Roman"/>
          <w:sz w:val="24"/>
          <w:szCs w:val="24"/>
        </w:rPr>
      </w:pPr>
      <w:r w:rsidRPr="000C08BF">
        <w:rPr>
          <w:rFonts w:ascii="Times New Roman" w:hAnsi="Times New Roman"/>
          <w:sz w:val="24"/>
          <w:szCs w:val="24"/>
        </w:rPr>
        <w:t xml:space="preserve">        У Закону о стандардизацији („Службени гласник РС”, број 36/09), у члану 1, </w:t>
      </w:r>
      <w:r w:rsidR="00317968" w:rsidRPr="00237AC5">
        <w:rPr>
          <w:rFonts w:ascii="Times New Roman" w:hAnsi="Times New Roman"/>
          <w:sz w:val="24"/>
          <w:szCs w:val="24"/>
          <w:lang w:val="sr-Cyrl-CS"/>
        </w:rPr>
        <w:t>после</w:t>
      </w:r>
      <w:r w:rsidRPr="000C08BF">
        <w:rPr>
          <w:rFonts w:ascii="Times New Roman" w:hAnsi="Times New Roman"/>
          <w:sz w:val="24"/>
          <w:szCs w:val="24"/>
        </w:rPr>
        <w:t xml:space="preserve"> речи: „објављивање</w:t>
      </w:r>
      <w:r w:rsidR="00E82580">
        <w:rPr>
          <w:rFonts w:ascii="Times New Roman" w:hAnsi="Times New Roman"/>
          <w:sz w:val="24"/>
          <w:szCs w:val="24"/>
        </w:rPr>
        <w:t>”</w:t>
      </w:r>
      <w:r w:rsidRPr="000C08BF">
        <w:rPr>
          <w:rFonts w:ascii="Times New Roman" w:hAnsi="Times New Roman"/>
          <w:sz w:val="24"/>
          <w:szCs w:val="24"/>
          <w:lang w:val="sr-Cyrl-CS"/>
        </w:rPr>
        <w:t>, додаје се реч</w:t>
      </w:r>
      <w:r w:rsidR="00317968" w:rsidRPr="00237AC5">
        <w:rPr>
          <w:rFonts w:ascii="Times New Roman" w:hAnsi="Times New Roman"/>
          <w:sz w:val="24"/>
          <w:szCs w:val="24"/>
          <w:lang w:val="sr-Cyrl-CS"/>
        </w:rPr>
        <w:t>:</w:t>
      </w:r>
      <w:r w:rsidR="00317968">
        <w:rPr>
          <w:rFonts w:ascii="Times New Roman" w:hAnsi="Times New Roman"/>
          <w:sz w:val="24"/>
          <w:szCs w:val="24"/>
          <w:lang w:val="sr-Cyrl-CS"/>
        </w:rPr>
        <w:t xml:space="preserve"> </w:t>
      </w:r>
      <w:r w:rsidRPr="000C08BF">
        <w:rPr>
          <w:rFonts w:ascii="Times New Roman" w:hAnsi="Times New Roman"/>
          <w:sz w:val="24"/>
          <w:szCs w:val="24"/>
          <w:lang w:val="sr-Cyrl-CS"/>
        </w:rPr>
        <w:t>„повлачење</w:t>
      </w:r>
      <w:r w:rsidR="00E82580">
        <w:rPr>
          <w:rFonts w:ascii="Times New Roman" w:hAnsi="Times New Roman"/>
          <w:sz w:val="24"/>
          <w:szCs w:val="24"/>
          <w:lang w:val="en-GB"/>
        </w:rPr>
        <w:t>”</w:t>
      </w:r>
      <w:r w:rsidRPr="000C08BF">
        <w:rPr>
          <w:rFonts w:ascii="Times New Roman" w:hAnsi="Times New Roman"/>
          <w:sz w:val="24"/>
          <w:szCs w:val="24"/>
          <w:lang w:val="sr-Cyrl-CS"/>
        </w:rPr>
        <w:t>.</w:t>
      </w:r>
    </w:p>
    <w:p w:rsidR="003334CE" w:rsidRDefault="003334CE" w:rsidP="000355F6">
      <w:pPr>
        <w:autoSpaceDE w:val="0"/>
        <w:autoSpaceDN w:val="0"/>
        <w:adjustRightInd w:val="0"/>
        <w:spacing w:after="0" w:line="240" w:lineRule="auto"/>
        <w:jc w:val="center"/>
        <w:rPr>
          <w:rFonts w:ascii="Times New Roman" w:hAnsi="Times New Roman"/>
          <w:sz w:val="24"/>
          <w:szCs w:val="24"/>
        </w:rPr>
      </w:pPr>
    </w:p>
    <w:p w:rsidR="003334CE" w:rsidRPr="0096434D" w:rsidRDefault="003334CE" w:rsidP="003334CE">
      <w:pPr>
        <w:pStyle w:val="4clan"/>
        <w:spacing w:after="120"/>
        <w:rPr>
          <w:rFonts w:ascii="Times New Roman" w:hAnsi="Times New Roman" w:cs="Times New Roman"/>
          <w:b w:val="0"/>
          <w:sz w:val="24"/>
          <w:szCs w:val="24"/>
        </w:rPr>
      </w:pPr>
      <w:bookmarkStart w:id="0" w:name="SADRZAJ_004"/>
      <w:r w:rsidRPr="0096434D">
        <w:rPr>
          <w:rFonts w:ascii="Times New Roman" w:hAnsi="Times New Roman" w:cs="Times New Roman"/>
          <w:b w:val="0"/>
          <w:sz w:val="24"/>
          <w:szCs w:val="24"/>
        </w:rPr>
        <w:t xml:space="preserve">Члан </w:t>
      </w:r>
      <w:r w:rsidRPr="0096434D">
        <w:rPr>
          <w:rFonts w:ascii="Times New Roman" w:hAnsi="Times New Roman" w:cs="Times New Roman"/>
          <w:b w:val="0"/>
          <w:sz w:val="24"/>
          <w:szCs w:val="24"/>
          <w:lang w:val="sr-Cyrl-CS"/>
        </w:rPr>
        <w:t>2</w:t>
      </w:r>
      <w:r w:rsidRPr="0096434D">
        <w:rPr>
          <w:rFonts w:ascii="Times New Roman" w:hAnsi="Times New Roman" w:cs="Times New Roman"/>
          <w:b w:val="0"/>
          <w:sz w:val="24"/>
          <w:szCs w:val="24"/>
        </w:rPr>
        <w:t>.</w:t>
      </w:r>
    </w:p>
    <w:bookmarkEnd w:id="0"/>
    <w:p w:rsidR="000355F6" w:rsidRPr="00F209F5" w:rsidRDefault="000355F6" w:rsidP="000355F6">
      <w:pPr>
        <w:autoSpaceDE w:val="0"/>
        <w:autoSpaceDN w:val="0"/>
        <w:adjustRightInd w:val="0"/>
        <w:spacing w:after="0" w:line="240" w:lineRule="auto"/>
        <w:jc w:val="center"/>
        <w:rPr>
          <w:rFonts w:ascii="Times New Roman" w:hAnsi="Times New Roman"/>
          <w:sz w:val="24"/>
          <w:szCs w:val="24"/>
        </w:rPr>
      </w:pPr>
    </w:p>
    <w:p w:rsidR="00B473EB" w:rsidRPr="0096434D" w:rsidRDefault="00032F93" w:rsidP="000739C1">
      <w:pPr>
        <w:tabs>
          <w:tab w:val="left" w:pos="709"/>
          <w:tab w:val="left" w:pos="851"/>
        </w:tabs>
        <w:autoSpaceDE w:val="0"/>
        <w:autoSpaceDN w:val="0"/>
        <w:adjustRightInd w:val="0"/>
        <w:spacing w:after="0" w:line="240" w:lineRule="auto"/>
        <w:jc w:val="both"/>
        <w:rPr>
          <w:rFonts w:ascii="Times New Roman" w:hAnsi="Times New Roman"/>
          <w:sz w:val="24"/>
          <w:szCs w:val="24"/>
          <w:lang w:val="sr-Cyrl-RS"/>
        </w:rPr>
      </w:pPr>
      <w:r w:rsidRPr="00F209F5">
        <w:rPr>
          <w:rFonts w:ascii="Times New Roman" w:hAnsi="Times New Roman"/>
          <w:sz w:val="24"/>
          <w:szCs w:val="24"/>
        </w:rPr>
        <w:t xml:space="preserve">             </w:t>
      </w:r>
      <w:r w:rsidR="00B473EB" w:rsidRPr="00F209F5">
        <w:rPr>
          <w:rFonts w:ascii="Times New Roman" w:hAnsi="Times New Roman"/>
          <w:sz w:val="24"/>
          <w:szCs w:val="24"/>
        </w:rPr>
        <w:t>У члану 2. речи:</w:t>
      </w:r>
      <w:r w:rsidRPr="00F209F5">
        <w:rPr>
          <w:rFonts w:ascii="Times New Roman" w:hAnsi="Times New Roman"/>
          <w:sz w:val="24"/>
          <w:szCs w:val="24"/>
        </w:rPr>
        <w:t xml:space="preserve"> </w:t>
      </w:r>
      <w:r w:rsidR="00B473EB" w:rsidRPr="00F209F5">
        <w:rPr>
          <w:rFonts w:ascii="Times New Roman" w:hAnsi="Times New Roman"/>
          <w:sz w:val="24"/>
          <w:szCs w:val="24"/>
        </w:rPr>
        <w:t>„тач. 12) и 13)” замењују се речима: „тач. 1</w:t>
      </w:r>
      <w:r w:rsidR="00631865" w:rsidRPr="00F209F5">
        <w:rPr>
          <w:rFonts w:ascii="Times New Roman" w:hAnsi="Times New Roman"/>
          <w:sz w:val="24"/>
          <w:szCs w:val="24"/>
          <w:lang w:val="sr-Cyrl-RS"/>
        </w:rPr>
        <w:t>6</w:t>
      </w:r>
      <w:r w:rsidR="00B473EB" w:rsidRPr="00F209F5">
        <w:rPr>
          <w:rFonts w:ascii="Times New Roman" w:hAnsi="Times New Roman"/>
          <w:sz w:val="24"/>
          <w:szCs w:val="24"/>
        </w:rPr>
        <w:t>) и 1</w:t>
      </w:r>
      <w:r w:rsidR="00631865" w:rsidRPr="00F209F5">
        <w:rPr>
          <w:rFonts w:ascii="Times New Roman" w:hAnsi="Times New Roman"/>
          <w:sz w:val="24"/>
          <w:szCs w:val="24"/>
          <w:lang w:val="sr-Cyrl-RS"/>
        </w:rPr>
        <w:t>7</w:t>
      </w:r>
      <w:r w:rsidR="0096434D">
        <w:rPr>
          <w:rFonts w:ascii="Times New Roman" w:hAnsi="Times New Roman"/>
          <w:sz w:val="24"/>
          <w:szCs w:val="24"/>
        </w:rPr>
        <w:t>)</w:t>
      </w:r>
      <w:r w:rsidR="00B473EB" w:rsidRPr="00F209F5">
        <w:rPr>
          <w:rFonts w:ascii="Times New Roman" w:hAnsi="Times New Roman"/>
          <w:sz w:val="24"/>
          <w:szCs w:val="24"/>
        </w:rPr>
        <w:t xml:space="preserve"> </w:t>
      </w:r>
      <w:r w:rsidR="00B473EB" w:rsidRPr="00237AC5">
        <w:rPr>
          <w:rFonts w:ascii="Times New Roman" w:hAnsi="Times New Roman"/>
          <w:sz w:val="24"/>
          <w:szCs w:val="24"/>
        </w:rPr>
        <w:t>”</w:t>
      </w:r>
      <w:r w:rsidR="0096434D" w:rsidRPr="00237AC5">
        <w:rPr>
          <w:rFonts w:ascii="Times New Roman" w:hAnsi="Times New Roman"/>
          <w:sz w:val="24"/>
          <w:szCs w:val="24"/>
          <w:lang w:val="sr-Cyrl-RS"/>
        </w:rPr>
        <w:t>.</w:t>
      </w:r>
    </w:p>
    <w:p w:rsidR="00C17C38" w:rsidRPr="00F209F5" w:rsidRDefault="00C17C38" w:rsidP="000355F6">
      <w:pPr>
        <w:autoSpaceDE w:val="0"/>
        <w:autoSpaceDN w:val="0"/>
        <w:adjustRightInd w:val="0"/>
        <w:spacing w:after="0" w:line="240" w:lineRule="auto"/>
        <w:jc w:val="both"/>
        <w:rPr>
          <w:rFonts w:ascii="Times New Roman" w:hAnsi="Times New Roman"/>
          <w:sz w:val="24"/>
          <w:szCs w:val="24"/>
          <w:lang w:val="sr-Cyrl-RS"/>
        </w:rPr>
      </w:pPr>
      <w:r w:rsidRPr="00F209F5">
        <w:rPr>
          <w:rFonts w:ascii="Times New Roman" w:hAnsi="Times New Roman"/>
          <w:sz w:val="24"/>
          <w:szCs w:val="24"/>
        </w:rPr>
        <w:tab/>
      </w:r>
      <w:r w:rsidRPr="00F209F5">
        <w:rPr>
          <w:rFonts w:ascii="Times New Roman" w:hAnsi="Times New Roman"/>
          <w:sz w:val="24"/>
          <w:szCs w:val="24"/>
          <w:lang w:val="sr-Cyrl-RS"/>
        </w:rPr>
        <w:t>После става 1. додај</w:t>
      </w:r>
      <w:r w:rsidR="00F42357" w:rsidRPr="00F209F5">
        <w:rPr>
          <w:rFonts w:ascii="Times New Roman" w:hAnsi="Times New Roman"/>
          <w:sz w:val="24"/>
          <w:szCs w:val="24"/>
          <w:lang w:val="sr-Cyrl-RS"/>
        </w:rPr>
        <w:t>у</w:t>
      </w:r>
      <w:r w:rsidRPr="00F209F5">
        <w:rPr>
          <w:rFonts w:ascii="Times New Roman" w:hAnsi="Times New Roman"/>
          <w:sz w:val="24"/>
          <w:szCs w:val="24"/>
          <w:lang w:val="sr-Cyrl-RS"/>
        </w:rPr>
        <w:t xml:space="preserve"> се ст</w:t>
      </w:r>
      <w:r w:rsidR="00F42357" w:rsidRPr="00F209F5">
        <w:rPr>
          <w:rFonts w:ascii="Times New Roman" w:hAnsi="Times New Roman"/>
          <w:sz w:val="24"/>
          <w:szCs w:val="24"/>
          <w:lang w:val="sr-Cyrl-RS"/>
        </w:rPr>
        <w:t>.</w:t>
      </w:r>
      <w:r w:rsidRPr="00F209F5">
        <w:rPr>
          <w:rFonts w:ascii="Times New Roman" w:hAnsi="Times New Roman"/>
          <w:sz w:val="24"/>
          <w:szCs w:val="24"/>
          <w:lang w:val="sr-Cyrl-RS"/>
        </w:rPr>
        <w:t xml:space="preserve"> 2.</w:t>
      </w:r>
      <w:r w:rsidR="00F42357" w:rsidRPr="00F209F5">
        <w:rPr>
          <w:rFonts w:ascii="Times New Roman" w:hAnsi="Times New Roman"/>
          <w:sz w:val="24"/>
          <w:szCs w:val="24"/>
          <w:lang w:val="sr-Cyrl-RS"/>
        </w:rPr>
        <w:t xml:space="preserve"> и 3.</w:t>
      </w:r>
      <w:r w:rsidRPr="00F209F5">
        <w:rPr>
          <w:rFonts w:ascii="Times New Roman" w:hAnsi="Times New Roman"/>
          <w:sz w:val="24"/>
          <w:szCs w:val="24"/>
          <w:lang w:val="sr-Cyrl-RS"/>
        </w:rPr>
        <w:t xml:space="preserve"> који глас</w:t>
      </w:r>
      <w:r w:rsidR="00F42357" w:rsidRPr="00F209F5">
        <w:rPr>
          <w:rFonts w:ascii="Times New Roman" w:hAnsi="Times New Roman"/>
          <w:sz w:val="24"/>
          <w:szCs w:val="24"/>
          <w:lang w:val="sr-Cyrl-RS"/>
        </w:rPr>
        <w:t>е</w:t>
      </w:r>
      <w:r w:rsidRPr="00F209F5">
        <w:rPr>
          <w:rFonts w:ascii="Times New Roman" w:hAnsi="Times New Roman"/>
          <w:sz w:val="24"/>
          <w:szCs w:val="24"/>
          <w:lang w:val="sr-Cyrl-RS"/>
        </w:rPr>
        <w:t>:</w:t>
      </w:r>
    </w:p>
    <w:p w:rsidR="00E06A1F" w:rsidRPr="00F209F5" w:rsidRDefault="00F42357" w:rsidP="000355F6">
      <w:pPr>
        <w:autoSpaceDE w:val="0"/>
        <w:autoSpaceDN w:val="0"/>
        <w:adjustRightInd w:val="0"/>
        <w:spacing w:after="0" w:line="240" w:lineRule="auto"/>
        <w:ind w:firstLine="720"/>
        <w:jc w:val="both"/>
        <w:rPr>
          <w:rFonts w:ascii="Times New Roman" w:hAnsi="Times New Roman"/>
          <w:sz w:val="24"/>
          <w:szCs w:val="24"/>
          <w:lang w:val="sr-Cyrl-CS"/>
        </w:rPr>
      </w:pPr>
      <w:r w:rsidRPr="00F209F5">
        <w:rPr>
          <w:rFonts w:ascii="Times New Roman" w:hAnsi="Times New Roman"/>
          <w:sz w:val="24"/>
          <w:szCs w:val="24"/>
          <w:lang w:val="sr-Cyrl-RS"/>
        </w:rPr>
        <w:t>„</w:t>
      </w:r>
      <w:r w:rsidR="0013455A" w:rsidRPr="00F209F5">
        <w:rPr>
          <w:rFonts w:ascii="Times New Roman" w:hAnsi="Times New Roman"/>
          <w:sz w:val="24"/>
          <w:szCs w:val="24"/>
          <w:lang w:val="sr-Cyrl-CS"/>
        </w:rPr>
        <w:t>О</w:t>
      </w:r>
      <w:r w:rsidR="0013455A" w:rsidRPr="00F209F5">
        <w:rPr>
          <w:rFonts w:ascii="Times New Roman" w:hAnsi="Times New Roman"/>
          <w:sz w:val="24"/>
          <w:szCs w:val="24"/>
          <w:lang w:val="sr-Cyrl-RS"/>
        </w:rPr>
        <w:t xml:space="preserve">вај закон се не примењује на гранске и интерне стандарде и сродне документе за производе, процесе и услуге у области одбране земље, железничког, ваздушног, </w:t>
      </w:r>
      <w:r w:rsidR="00CF04FB" w:rsidRPr="00F209F5">
        <w:rPr>
          <w:rFonts w:ascii="Times New Roman" w:hAnsi="Times New Roman"/>
          <w:sz w:val="24"/>
          <w:szCs w:val="24"/>
          <w:lang w:val="sr-Cyrl-CS"/>
        </w:rPr>
        <w:t>водног</w:t>
      </w:r>
      <w:r w:rsidR="0013455A" w:rsidRPr="00F209F5">
        <w:rPr>
          <w:rFonts w:ascii="Times New Roman" w:hAnsi="Times New Roman"/>
          <w:sz w:val="24"/>
          <w:szCs w:val="24"/>
          <w:lang w:val="sr-Cyrl-RS"/>
        </w:rPr>
        <w:t xml:space="preserve"> саобраћаја, рачуноводствених услуга и </w:t>
      </w:r>
      <w:r w:rsidR="00C238C1" w:rsidRPr="00F209F5">
        <w:rPr>
          <w:rFonts w:ascii="Times New Roman" w:hAnsi="Times New Roman"/>
          <w:sz w:val="24"/>
          <w:szCs w:val="24"/>
          <w:lang w:val="sr-Cyrl-RS"/>
        </w:rPr>
        <w:t>у</w:t>
      </w:r>
      <w:r w:rsidR="00C238C1" w:rsidRPr="00F209F5">
        <w:rPr>
          <w:rFonts w:ascii="Times New Roman" w:hAnsi="Times New Roman"/>
          <w:sz w:val="24"/>
          <w:szCs w:val="24"/>
        </w:rPr>
        <w:t xml:space="preserve"> </w:t>
      </w:r>
      <w:r w:rsidR="0013455A" w:rsidRPr="00F209F5">
        <w:rPr>
          <w:rFonts w:ascii="Times New Roman" w:hAnsi="Times New Roman"/>
          <w:sz w:val="24"/>
          <w:szCs w:val="24"/>
          <w:lang w:val="sr-Cyrl-RS"/>
        </w:rPr>
        <w:t>друг</w:t>
      </w:r>
      <w:r w:rsidR="00C238C1" w:rsidRPr="00F209F5">
        <w:rPr>
          <w:rFonts w:ascii="Times New Roman" w:hAnsi="Times New Roman"/>
          <w:sz w:val="24"/>
          <w:szCs w:val="24"/>
          <w:lang w:val="sr-Cyrl-RS"/>
        </w:rPr>
        <w:t>им областима</w:t>
      </w:r>
      <w:r w:rsidR="0013455A" w:rsidRPr="00F209F5">
        <w:rPr>
          <w:rFonts w:ascii="Times New Roman" w:hAnsi="Times New Roman"/>
          <w:sz w:val="24"/>
          <w:szCs w:val="24"/>
          <w:lang w:val="sr-Cyrl-RS"/>
        </w:rPr>
        <w:t>, које за своје потребе могу доносити органи државне управе, привредна друштва и друга правна лица.</w:t>
      </w:r>
    </w:p>
    <w:p w:rsidR="001E1A30" w:rsidRPr="00F209F5" w:rsidRDefault="00F42357" w:rsidP="000355F6">
      <w:pPr>
        <w:autoSpaceDE w:val="0"/>
        <w:autoSpaceDN w:val="0"/>
        <w:adjustRightInd w:val="0"/>
        <w:spacing w:after="0" w:line="240" w:lineRule="auto"/>
        <w:ind w:firstLine="720"/>
        <w:jc w:val="both"/>
        <w:rPr>
          <w:rFonts w:ascii="Times New Roman" w:hAnsi="Times New Roman"/>
          <w:sz w:val="24"/>
          <w:szCs w:val="24"/>
          <w:lang w:val="sr-Cyrl-RS"/>
        </w:rPr>
      </w:pPr>
      <w:r w:rsidRPr="00F209F5">
        <w:rPr>
          <w:rFonts w:ascii="Times New Roman" w:hAnsi="Times New Roman"/>
          <w:sz w:val="24"/>
          <w:szCs w:val="24"/>
          <w:lang w:val="sr-Cyrl-RS"/>
        </w:rPr>
        <w:t xml:space="preserve">Посебним </w:t>
      </w:r>
      <w:r w:rsidR="001E1A30" w:rsidRPr="00F209F5">
        <w:rPr>
          <w:rFonts w:ascii="Times New Roman" w:hAnsi="Times New Roman"/>
          <w:sz w:val="24"/>
          <w:szCs w:val="24"/>
          <w:lang w:val="sr-Cyrl-RS"/>
        </w:rPr>
        <w:t>з</w:t>
      </w:r>
      <w:r w:rsidR="001E1A30" w:rsidRPr="00A56F70">
        <w:rPr>
          <w:rFonts w:ascii="Times New Roman" w:hAnsi="Times New Roman"/>
          <w:sz w:val="24"/>
          <w:szCs w:val="24"/>
          <w:lang w:val="sr-Cyrl-RS"/>
        </w:rPr>
        <w:t>акон</w:t>
      </w:r>
      <w:r w:rsidR="00F209F5" w:rsidRPr="00A56F70">
        <w:rPr>
          <w:rFonts w:ascii="Times New Roman" w:hAnsi="Times New Roman"/>
          <w:sz w:val="24"/>
          <w:szCs w:val="24"/>
          <w:lang w:val="sr-Cyrl-CS"/>
        </w:rPr>
        <w:t>има</w:t>
      </w:r>
      <w:r w:rsidR="001E1A30" w:rsidRPr="00F209F5">
        <w:rPr>
          <w:rFonts w:ascii="Times New Roman" w:hAnsi="Times New Roman"/>
          <w:sz w:val="24"/>
          <w:szCs w:val="24"/>
          <w:lang w:val="sr-Cyrl-RS"/>
        </w:rPr>
        <w:t xml:space="preserve"> и другим прописима, </w:t>
      </w:r>
      <w:r w:rsidR="00CF04FB" w:rsidRPr="00F209F5">
        <w:rPr>
          <w:rFonts w:ascii="Times New Roman" w:hAnsi="Times New Roman"/>
          <w:sz w:val="24"/>
          <w:szCs w:val="24"/>
          <w:lang w:val="sr-Cyrl-CS"/>
        </w:rPr>
        <w:t>уређуј</w:t>
      </w:r>
      <w:r w:rsidR="00507079" w:rsidRPr="00F209F5">
        <w:rPr>
          <w:rFonts w:ascii="Times New Roman" w:hAnsi="Times New Roman"/>
          <w:sz w:val="24"/>
          <w:szCs w:val="24"/>
          <w:lang w:val="sr-Cyrl-CS"/>
        </w:rPr>
        <w:t>у</w:t>
      </w:r>
      <w:r w:rsidR="00CF04FB" w:rsidRPr="00F209F5">
        <w:rPr>
          <w:rFonts w:ascii="Times New Roman" w:hAnsi="Times New Roman"/>
          <w:sz w:val="24"/>
          <w:szCs w:val="24"/>
          <w:lang w:val="sr-Cyrl-CS"/>
        </w:rPr>
        <w:t xml:space="preserve"> се</w:t>
      </w:r>
      <w:r w:rsidR="001E1A30" w:rsidRPr="00F209F5">
        <w:rPr>
          <w:rFonts w:ascii="Times New Roman" w:hAnsi="Times New Roman"/>
          <w:sz w:val="24"/>
          <w:szCs w:val="24"/>
          <w:lang w:val="sr-Cyrl-RS"/>
        </w:rPr>
        <w:t xml:space="preserve"> доношење, означавање и примена стандарда и сродних докумената и друга питања од значаја за стандардизацију у областима из става 2. овог члана.”</w:t>
      </w:r>
    </w:p>
    <w:p w:rsidR="00B473EB" w:rsidRPr="00F209F5" w:rsidRDefault="00B473EB" w:rsidP="000355F6">
      <w:pPr>
        <w:autoSpaceDE w:val="0"/>
        <w:autoSpaceDN w:val="0"/>
        <w:adjustRightInd w:val="0"/>
        <w:spacing w:after="0" w:line="240" w:lineRule="auto"/>
        <w:jc w:val="both"/>
        <w:rPr>
          <w:rFonts w:ascii="Times New Roman" w:hAnsi="Times New Roman"/>
          <w:sz w:val="24"/>
          <w:szCs w:val="24"/>
        </w:rPr>
      </w:pPr>
    </w:p>
    <w:p w:rsidR="00B473EB" w:rsidRPr="0096434D" w:rsidRDefault="00B473EB" w:rsidP="000355F6">
      <w:pPr>
        <w:autoSpaceDE w:val="0"/>
        <w:autoSpaceDN w:val="0"/>
        <w:adjustRightInd w:val="0"/>
        <w:spacing w:after="0" w:line="240" w:lineRule="auto"/>
        <w:jc w:val="center"/>
        <w:rPr>
          <w:rFonts w:ascii="Times New Roman" w:hAnsi="Times New Roman"/>
          <w:sz w:val="24"/>
          <w:szCs w:val="24"/>
        </w:rPr>
      </w:pPr>
      <w:r w:rsidRPr="0096434D">
        <w:rPr>
          <w:rFonts w:ascii="Times New Roman" w:hAnsi="Times New Roman"/>
          <w:sz w:val="24"/>
          <w:szCs w:val="24"/>
        </w:rPr>
        <w:t xml:space="preserve">Члан </w:t>
      </w:r>
      <w:r w:rsidR="003334CE" w:rsidRPr="0096434D">
        <w:rPr>
          <w:rFonts w:ascii="Times New Roman" w:hAnsi="Times New Roman"/>
          <w:sz w:val="24"/>
          <w:szCs w:val="24"/>
          <w:lang w:val="sr-Cyrl-CS"/>
        </w:rPr>
        <w:t>3</w:t>
      </w:r>
      <w:r w:rsidRPr="0096434D">
        <w:rPr>
          <w:rFonts w:ascii="Times New Roman" w:hAnsi="Times New Roman"/>
          <w:sz w:val="24"/>
          <w:szCs w:val="24"/>
        </w:rPr>
        <w:t>.</w:t>
      </w:r>
    </w:p>
    <w:p w:rsidR="00B473EB" w:rsidRPr="00F209F5" w:rsidRDefault="00B473EB" w:rsidP="000355F6">
      <w:pPr>
        <w:autoSpaceDE w:val="0"/>
        <w:autoSpaceDN w:val="0"/>
        <w:adjustRightInd w:val="0"/>
        <w:spacing w:after="0" w:line="240" w:lineRule="auto"/>
        <w:jc w:val="center"/>
        <w:rPr>
          <w:rFonts w:ascii="Times New Roman" w:hAnsi="Times New Roman"/>
          <w:sz w:val="24"/>
          <w:szCs w:val="24"/>
        </w:rPr>
      </w:pPr>
    </w:p>
    <w:p w:rsidR="00B473EB" w:rsidRPr="00F209F5" w:rsidRDefault="000739C1" w:rsidP="000739C1">
      <w:pPr>
        <w:tabs>
          <w:tab w:val="left" w:pos="709"/>
          <w:tab w:val="left" w:pos="851"/>
        </w:tabs>
        <w:autoSpaceDE w:val="0"/>
        <w:autoSpaceDN w:val="0"/>
        <w:adjustRightInd w:val="0"/>
        <w:spacing w:after="0" w:line="240" w:lineRule="auto"/>
        <w:rPr>
          <w:rFonts w:ascii="Times New Roman" w:hAnsi="Times New Roman"/>
          <w:sz w:val="24"/>
          <w:szCs w:val="24"/>
        </w:rPr>
      </w:pPr>
      <w:r w:rsidRPr="00F209F5">
        <w:rPr>
          <w:rFonts w:ascii="Times New Roman" w:hAnsi="Times New Roman"/>
          <w:sz w:val="24"/>
          <w:szCs w:val="24"/>
        </w:rPr>
        <w:t xml:space="preserve">             </w:t>
      </w:r>
      <w:r w:rsidR="00B473EB" w:rsidRPr="00F209F5">
        <w:rPr>
          <w:rFonts w:ascii="Times New Roman" w:hAnsi="Times New Roman"/>
          <w:sz w:val="24"/>
          <w:szCs w:val="24"/>
        </w:rPr>
        <w:t>Члан 3. мења се и гласи:</w:t>
      </w:r>
    </w:p>
    <w:p w:rsidR="00B473EB" w:rsidRPr="00F209F5" w:rsidRDefault="00B473EB" w:rsidP="000355F6">
      <w:pPr>
        <w:autoSpaceDE w:val="0"/>
        <w:autoSpaceDN w:val="0"/>
        <w:adjustRightInd w:val="0"/>
        <w:spacing w:after="0" w:line="240" w:lineRule="auto"/>
        <w:jc w:val="center"/>
        <w:rPr>
          <w:rFonts w:ascii="Times New Roman" w:hAnsi="Times New Roman"/>
          <w:sz w:val="24"/>
          <w:szCs w:val="24"/>
        </w:rPr>
      </w:pPr>
      <w:r w:rsidRPr="00F209F5">
        <w:rPr>
          <w:rFonts w:ascii="Times New Roman" w:hAnsi="Times New Roman"/>
          <w:sz w:val="24"/>
          <w:szCs w:val="24"/>
        </w:rPr>
        <w:t>„Члан 3.</w:t>
      </w:r>
    </w:p>
    <w:p w:rsidR="00B473EB" w:rsidRPr="00F209F5" w:rsidRDefault="00B473EB" w:rsidP="000355F6">
      <w:pPr>
        <w:autoSpaceDE w:val="0"/>
        <w:autoSpaceDN w:val="0"/>
        <w:adjustRightInd w:val="0"/>
        <w:spacing w:after="0" w:line="240" w:lineRule="auto"/>
        <w:jc w:val="center"/>
        <w:rPr>
          <w:rFonts w:ascii="Times New Roman" w:hAnsi="Times New Roman"/>
          <w:sz w:val="24"/>
          <w:szCs w:val="24"/>
        </w:rPr>
      </w:pPr>
    </w:p>
    <w:p w:rsidR="00B473EB" w:rsidRPr="00F209F5" w:rsidRDefault="000739C1" w:rsidP="000739C1">
      <w:pPr>
        <w:tabs>
          <w:tab w:val="left" w:pos="709"/>
        </w:tabs>
        <w:autoSpaceDE w:val="0"/>
        <w:autoSpaceDN w:val="0"/>
        <w:adjustRightInd w:val="0"/>
        <w:spacing w:after="0" w:line="240" w:lineRule="auto"/>
        <w:jc w:val="both"/>
        <w:rPr>
          <w:rFonts w:ascii="Times New Roman" w:hAnsi="Times New Roman"/>
          <w:sz w:val="24"/>
          <w:szCs w:val="24"/>
        </w:rPr>
      </w:pPr>
      <w:r w:rsidRPr="00F209F5">
        <w:rPr>
          <w:rFonts w:ascii="Times New Roman" w:hAnsi="Times New Roman"/>
          <w:sz w:val="24"/>
          <w:szCs w:val="24"/>
        </w:rPr>
        <w:t xml:space="preserve">             </w:t>
      </w:r>
      <w:r w:rsidR="00B473EB" w:rsidRPr="00F209F5">
        <w:rPr>
          <w:rFonts w:ascii="Times New Roman" w:hAnsi="Times New Roman"/>
          <w:sz w:val="24"/>
          <w:szCs w:val="24"/>
        </w:rPr>
        <w:t>Поједини изрази употребљени у овом закону имају следеће значење:</w:t>
      </w:r>
    </w:p>
    <w:p w:rsidR="00B473EB" w:rsidRPr="00F209F5" w:rsidRDefault="00B473EB" w:rsidP="000355F6">
      <w:pPr>
        <w:autoSpaceDE w:val="0"/>
        <w:autoSpaceDN w:val="0"/>
        <w:adjustRightInd w:val="0"/>
        <w:spacing w:after="0" w:line="240" w:lineRule="auto"/>
        <w:jc w:val="both"/>
        <w:rPr>
          <w:rFonts w:ascii="Times New Roman" w:hAnsi="Times New Roman"/>
          <w:sz w:val="24"/>
          <w:szCs w:val="24"/>
        </w:rPr>
      </w:pPr>
    </w:p>
    <w:p w:rsidR="00B473EB" w:rsidRPr="0096434D" w:rsidRDefault="00B473EB" w:rsidP="000355F6">
      <w:pPr>
        <w:autoSpaceDE w:val="0"/>
        <w:autoSpaceDN w:val="0"/>
        <w:adjustRightInd w:val="0"/>
        <w:spacing w:after="0" w:line="240" w:lineRule="auto"/>
        <w:ind w:firstLine="720"/>
        <w:jc w:val="both"/>
        <w:rPr>
          <w:rFonts w:ascii="Times New Roman" w:hAnsi="Times New Roman"/>
          <w:sz w:val="24"/>
          <w:szCs w:val="24"/>
        </w:rPr>
      </w:pPr>
      <w:r w:rsidRPr="00F209F5">
        <w:rPr>
          <w:rFonts w:ascii="Times New Roman" w:hAnsi="Times New Roman"/>
          <w:sz w:val="24"/>
          <w:szCs w:val="24"/>
        </w:rPr>
        <w:t xml:space="preserve">1) </w:t>
      </w:r>
      <w:r w:rsidRPr="0096434D">
        <w:rPr>
          <w:rFonts w:ascii="Times New Roman" w:hAnsi="Times New Roman"/>
          <w:sz w:val="24"/>
          <w:szCs w:val="24"/>
        </w:rPr>
        <w:t>стандардизација је скуп координираних активности на доношењу стандарда и сродних докумената;</w:t>
      </w:r>
    </w:p>
    <w:p w:rsidR="00B473EB" w:rsidRPr="0096434D" w:rsidRDefault="00B473EB" w:rsidP="000355F6">
      <w:pPr>
        <w:tabs>
          <w:tab w:val="left" w:pos="993"/>
        </w:tabs>
        <w:autoSpaceDE w:val="0"/>
        <w:autoSpaceDN w:val="0"/>
        <w:adjustRightInd w:val="0"/>
        <w:spacing w:after="0" w:line="240" w:lineRule="auto"/>
        <w:ind w:firstLine="720"/>
        <w:jc w:val="both"/>
        <w:rPr>
          <w:rFonts w:ascii="Times New Roman" w:hAnsi="Times New Roman"/>
          <w:sz w:val="24"/>
          <w:szCs w:val="24"/>
        </w:rPr>
      </w:pPr>
      <w:r w:rsidRPr="0096434D">
        <w:rPr>
          <w:rFonts w:ascii="Times New Roman" w:hAnsi="Times New Roman"/>
          <w:sz w:val="24"/>
          <w:szCs w:val="24"/>
        </w:rPr>
        <w:t>2</w:t>
      </w:r>
      <w:r w:rsidR="000355F6" w:rsidRPr="0096434D">
        <w:rPr>
          <w:rFonts w:ascii="Times New Roman" w:hAnsi="Times New Roman"/>
          <w:iCs/>
          <w:sz w:val="24"/>
          <w:szCs w:val="24"/>
        </w:rPr>
        <w:t>)</w:t>
      </w:r>
      <w:r w:rsidR="000355F6" w:rsidRPr="0096434D">
        <w:rPr>
          <w:rFonts w:ascii="Times New Roman" w:hAnsi="Times New Roman"/>
          <w:iCs/>
          <w:sz w:val="24"/>
          <w:szCs w:val="24"/>
        </w:rPr>
        <w:tab/>
      </w:r>
      <w:r w:rsidRPr="0096434D">
        <w:rPr>
          <w:rFonts w:ascii="Times New Roman" w:hAnsi="Times New Roman"/>
          <w:sz w:val="24"/>
          <w:szCs w:val="24"/>
        </w:rPr>
        <w:t xml:space="preserve">стандард је техничка спецификација коју је донело </w:t>
      </w:r>
      <w:r w:rsidR="00E3346D" w:rsidRPr="0096434D">
        <w:rPr>
          <w:rFonts w:ascii="Times New Roman" w:hAnsi="Times New Roman"/>
          <w:sz w:val="24"/>
          <w:szCs w:val="24"/>
          <w:lang w:val="sr-Cyrl-RS"/>
        </w:rPr>
        <w:t xml:space="preserve">национално </w:t>
      </w:r>
      <w:r w:rsidRPr="0096434D">
        <w:rPr>
          <w:rFonts w:ascii="Times New Roman" w:hAnsi="Times New Roman"/>
          <w:sz w:val="24"/>
          <w:szCs w:val="24"/>
        </w:rPr>
        <w:t>тело за стандардизацију за вишекратну или сталну употребу са којом усаглашеност</w:t>
      </w:r>
      <w:r w:rsidR="00741222" w:rsidRPr="0096434D">
        <w:rPr>
          <w:rFonts w:ascii="Times New Roman" w:hAnsi="Times New Roman"/>
          <w:sz w:val="24"/>
          <w:szCs w:val="24"/>
          <w:lang w:val="sr-Cyrl-RS"/>
        </w:rPr>
        <w:t xml:space="preserve"> производа, процеса и услуга </w:t>
      </w:r>
      <w:r w:rsidRPr="0096434D">
        <w:rPr>
          <w:rFonts w:ascii="Times New Roman" w:hAnsi="Times New Roman"/>
          <w:sz w:val="24"/>
          <w:szCs w:val="24"/>
        </w:rPr>
        <w:t>није обавезна;</w:t>
      </w:r>
    </w:p>
    <w:p w:rsidR="00B473EB" w:rsidRPr="0096434D" w:rsidRDefault="00B473EB" w:rsidP="000355F6">
      <w:pPr>
        <w:autoSpaceDE w:val="0"/>
        <w:autoSpaceDN w:val="0"/>
        <w:adjustRightInd w:val="0"/>
        <w:spacing w:after="0" w:line="240" w:lineRule="auto"/>
        <w:ind w:firstLine="720"/>
        <w:jc w:val="both"/>
        <w:rPr>
          <w:rFonts w:ascii="Times New Roman" w:hAnsi="Times New Roman"/>
          <w:sz w:val="24"/>
          <w:szCs w:val="24"/>
        </w:rPr>
      </w:pPr>
      <w:r w:rsidRPr="0096434D">
        <w:rPr>
          <w:rFonts w:ascii="Times New Roman" w:hAnsi="Times New Roman"/>
          <w:sz w:val="24"/>
          <w:szCs w:val="24"/>
        </w:rPr>
        <w:t>3) међународни стандард је стандард који је донела међународна организација за стандардизацију;</w:t>
      </w:r>
    </w:p>
    <w:p w:rsidR="00C3497B" w:rsidRPr="0096434D" w:rsidRDefault="00B473EB" w:rsidP="000355F6">
      <w:pPr>
        <w:tabs>
          <w:tab w:val="left" w:pos="993"/>
        </w:tabs>
        <w:autoSpaceDE w:val="0"/>
        <w:autoSpaceDN w:val="0"/>
        <w:adjustRightInd w:val="0"/>
        <w:spacing w:after="0" w:line="240" w:lineRule="auto"/>
        <w:ind w:firstLine="720"/>
        <w:jc w:val="both"/>
        <w:rPr>
          <w:rFonts w:ascii="Times New Roman" w:hAnsi="Times New Roman"/>
          <w:sz w:val="24"/>
          <w:szCs w:val="24"/>
          <w:lang w:val="sr-Cyrl-RS"/>
        </w:rPr>
      </w:pPr>
      <w:r w:rsidRPr="0096434D">
        <w:rPr>
          <w:rFonts w:ascii="Times New Roman" w:hAnsi="Times New Roman"/>
          <w:sz w:val="24"/>
          <w:szCs w:val="24"/>
        </w:rPr>
        <w:t>4)</w:t>
      </w:r>
      <w:r w:rsidR="000355F6" w:rsidRPr="0096434D">
        <w:rPr>
          <w:rFonts w:ascii="Times New Roman" w:hAnsi="Times New Roman"/>
          <w:sz w:val="24"/>
          <w:szCs w:val="24"/>
        </w:rPr>
        <w:tab/>
      </w:r>
      <w:r w:rsidRPr="0096434D">
        <w:rPr>
          <w:rFonts w:ascii="Times New Roman" w:hAnsi="Times New Roman"/>
          <w:sz w:val="24"/>
          <w:szCs w:val="24"/>
        </w:rPr>
        <w:t>европски стандард је стандард који је донела европска организација за стандардизацију</w:t>
      </w:r>
      <w:r w:rsidR="00C3497B" w:rsidRPr="0096434D">
        <w:rPr>
          <w:rFonts w:ascii="Times New Roman" w:hAnsi="Times New Roman"/>
          <w:sz w:val="24"/>
          <w:szCs w:val="24"/>
          <w:lang w:val="sr-Cyrl-RS"/>
        </w:rPr>
        <w:t>;</w:t>
      </w:r>
    </w:p>
    <w:p w:rsidR="00B473EB" w:rsidRPr="0096434D" w:rsidRDefault="00C3497B" w:rsidP="000355F6">
      <w:pPr>
        <w:autoSpaceDE w:val="0"/>
        <w:autoSpaceDN w:val="0"/>
        <w:adjustRightInd w:val="0"/>
        <w:spacing w:after="0" w:line="240" w:lineRule="auto"/>
        <w:ind w:firstLine="720"/>
        <w:jc w:val="both"/>
        <w:rPr>
          <w:rFonts w:ascii="Times New Roman" w:hAnsi="Times New Roman"/>
          <w:sz w:val="24"/>
          <w:szCs w:val="24"/>
        </w:rPr>
      </w:pPr>
      <w:r w:rsidRPr="0096434D">
        <w:rPr>
          <w:rFonts w:ascii="Times New Roman" w:hAnsi="Times New Roman"/>
          <w:sz w:val="24"/>
          <w:szCs w:val="24"/>
          <w:lang w:val="sr-Cyrl-RS"/>
        </w:rPr>
        <w:t xml:space="preserve">5) </w:t>
      </w:r>
      <w:r w:rsidRPr="0096434D">
        <w:rPr>
          <w:rFonts w:ascii="Times New Roman" w:hAnsi="Times New Roman"/>
          <w:sz w:val="24"/>
          <w:szCs w:val="24"/>
        </w:rPr>
        <w:t>хармонизовани стандард</w:t>
      </w:r>
      <w:r w:rsidRPr="0096434D">
        <w:rPr>
          <w:rFonts w:ascii="Times New Roman" w:hAnsi="Times New Roman"/>
          <w:sz w:val="24"/>
          <w:szCs w:val="24"/>
          <w:lang w:val="sr-Cyrl-RS"/>
        </w:rPr>
        <w:t xml:space="preserve"> </w:t>
      </w:r>
      <w:r w:rsidR="0013455A" w:rsidRPr="0096434D">
        <w:rPr>
          <w:rFonts w:ascii="Times New Roman" w:hAnsi="Times New Roman"/>
          <w:sz w:val="24"/>
          <w:szCs w:val="24"/>
          <w:lang w:val="sr-Cyrl-RS"/>
        </w:rPr>
        <w:t xml:space="preserve">је </w:t>
      </w:r>
      <w:r w:rsidR="0013455A" w:rsidRPr="0096434D">
        <w:rPr>
          <w:rFonts w:ascii="Times New Roman" w:hAnsi="Times New Roman"/>
          <w:sz w:val="24"/>
          <w:szCs w:val="24"/>
        </w:rPr>
        <w:t xml:space="preserve">европски стандард који је донет на основу захтева </w:t>
      </w:r>
      <w:r w:rsidR="00AC50EA" w:rsidRPr="0096434D">
        <w:rPr>
          <w:rFonts w:ascii="Times New Roman" w:hAnsi="Times New Roman"/>
          <w:sz w:val="24"/>
          <w:szCs w:val="24"/>
          <w:lang w:val="sr-Cyrl-CS"/>
        </w:rPr>
        <w:t>Е</w:t>
      </w:r>
      <w:r w:rsidR="0013455A" w:rsidRPr="0096434D">
        <w:rPr>
          <w:rFonts w:ascii="Times New Roman" w:hAnsi="Times New Roman"/>
          <w:sz w:val="24"/>
          <w:szCs w:val="24"/>
        </w:rPr>
        <w:t xml:space="preserve">вропске комисије за примену у хармонизованом законодавству </w:t>
      </w:r>
      <w:r w:rsidR="00AC50EA" w:rsidRPr="0096434D">
        <w:rPr>
          <w:rFonts w:ascii="Times New Roman" w:hAnsi="Times New Roman"/>
          <w:sz w:val="24"/>
          <w:szCs w:val="24"/>
          <w:lang w:val="sr-Cyrl-CS"/>
        </w:rPr>
        <w:t>Е</w:t>
      </w:r>
      <w:r w:rsidR="0013455A" w:rsidRPr="0096434D">
        <w:rPr>
          <w:rFonts w:ascii="Times New Roman" w:hAnsi="Times New Roman"/>
          <w:sz w:val="24"/>
          <w:szCs w:val="24"/>
        </w:rPr>
        <w:t>вропске уније</w:t>
      </w:r>
      <w:r w:rsidR="007256F6" w:rsidRPr="0096434D">
        <w:rPr>
          <w:rFonts w:ascii="Times New Roman" w:hAnsi="Times New Roman"/>
          <w:sz w:val="24"/>
          <w:szCs w:val="24"/>
          <w:lang w:val="sr-Cyrl-RS"/>
        </w:rPr>
        <w:t>;</w:t>
      </w:r>
      <w:r w:rsidR="0013455A" w:rsidRPr="0096434D">
        <w:rPr>
          <w:rFonts w:ascii="Times New Roman" w:hAnsi="Times New Roman"/>
          <w:sz w:val="24"/>
          <w:szCs w:val="24"/>
          <w:lang w:val="sr-Cyrl-CS"/>
        </w:rPr>
        <w:t xml:space="preserve"> </w:t>
      </w:r>
    </w:p>
    <w:p w:rsidR="00B473EB" w:rsidRPr="0096434D" w:rsidRDefault="00631865" w:rsidP="000355F6">
      <w:pPr>
        <w:tabs>
          <w:tab w:val="left" w:pos="993"/>
        </w:tabs>
        <w:autoSpaceDE w:val="0"/>
        <w:autoSpaceDN w:val="0"/>
        <w:adjustRightInd w:val="0"/>
        <w:spacing w:after="0" w:line="240" w:lineRule="auto"/>
        <w:ind w:firstLine="720"/>
        <w:jc w:val="both"/>
        <w:rPr>
          <w:rFonts w:ascii="Times New Roman" w:hAnsi="Times New Roman"/>
          <w:sz w:val="24"/>
          <w:szCs w:val="24"/>
        </w:rPr>
      </w:pPr>
      <w:r w:rsidRPr="0096434D">
        <w:rPr>
          <w:rFonts w:ascii="Times New Roman" w:hAnsi="Times New Roman"/>
          <w:sz w:val="24"/>
          <w:szCs w:val="24"/>
          <w:lang w:val="sr-Cyrl-RS"/>
        </w:rPr>
        <w:t>6</w:t>
      </w:r>
      <w:r w:rsidR="00B473EB" w:rsidRPr="0096434D">
        <w:rPr>
          <w:rFonts w:ascii="Times New Roman" w:hAnsi="Times New Roman"/>
          <w:sz w:val="24"/>
          <w:szCs w:val="24"/>
        </w:rPr>
        <w:t>)</w:t>
      </w:r>
      <w:r w:rsidR="000355F6" w:rsidRPr="0096434D">
        <w:rPr>
          <w:rFonts w:ascii="Times New Roman" w:hAnsi="Times New Roman"/>
          <w:sz w:val="24"/>
          <w:szCs w:val="24"/>
        </w:rPr>
        <w:tab/>
      </w:r>
      <w:r w:rsidR="00B473EB" w:rsidRPr="0096434D">
        <w:rPr>
          <w:rFonts w:ascii="Times New Roman" w:hAnsi="Times New Roman"/>
          <w:sz w:val="24"/>
          <w:szCs w:val="24"/>
        </w:rPr>
        <w:t>национални стандард је стандард који је донело национално тело за стандардизацију;</w:t>
      </w:r>
    </w:p>
    <w:p w:rsidR="00B473EB" w:rsidRPr="0096434D" w:rsidRDefault="00631865" w:rsidP="000355F6">
      <w:pPr>
        <w:autoSpaceDE w:val="0"/>
        <w:autoSpaceDN w:val="0"/>
        <w:adjustRightInd w:val="0"/>
        <w:spacing w:after="0" w:line="240" w:lineRule="auto"/>
        <w:ind w:firstLine="720"/>
        <w:jc w:val="both"/>
        <w:rPr>
          <w:rFonts w:ascii="Times New Roman" w:hAnsi="Times New Roman"/>
          <w:sz w:val="24"/>
          <w:szCs w:val="24"/>
        </w:rPr>
      </w:pPr>
      <w:r w:rsidRPr="0096434D">
        <w:rPr>
          <w:rFonts w:ascii="Times New Roman" w:hAnsi="Times New Roman"/>
          <w:sz w:val="24"/>
          <w:szCs w:val="24"/>
          <w:lang w:val="sr-Cyrl-RS"/>
        </w:rPr>
        <w:t>7</w:t>
      </w:r>
      <w:r w:rsidR="00B473EB" w:rsidRPr="0096434D">
        <w:rPr>
          <w:rFonts w:ascii="Times New Roman" w:hAnsi="Times New Roman"/>
          <w:sz w:val="24"/>
          <w:szCs w:val="24"/>
        </w:rPr>
        <w:t>) српски стандард је стандард који је донело национално тело за стандардизацију у Републици Србији;</w:t>
      </w:r>
    </w:p>
    <w:p w:rsidR="00B473EB" w:rsidRPr="0096434D" w:rsidRDefault="00631865" w:rsidP="000355F6">
      <w:pPr>
        <w:tabs>
          <w:tab w:val="left" w:pos="993"/>
        </w:tabs>
        <w:autoSpaceDE w:val="0"/>
        <w:autoSpaceDN w:val="0"/>
        <w:adjustRightInd w:val="0"/>
        <w:spacing w:after="0" w:line="240" w:lineRule="auto"/>
        <w:ind w:firstLine="720"/>
        <w:jc w:val="both"/>
        <w:rPr>
          <w:rFonts w:ascii="Times New Roman" w:hAnsi="Times New Roman"/>
          <w:strike/>
          <w:sz w:val="24"/>
          <w:szCs w:val="24"/>
        </w:rPr>
      </w:pPr>
      <w:r w:rsidRPr="0096434D">
        <w:rPr>
          <w:rFonts w:ascii="Times New Roman" w:hAnsi="Times New Roman"/>
          <w:sz w:val="24"/>
          <w:szCs w:val="24"/>
          <w:lang w:val="sr-Cyrl-RS"/>
        </w:rPr>
        <w:t>8</w:t>
      </w:r>
      <w:r w:rsidR="00B473EB" w:rsidRPr="0096434D">
        <w:rPr>
          <w:rFonts w:ascii="Times New Roman" w:hAnsi="Times New Roman"/>
          <w:sz w:val="24"/>
          <w:szCs w:val="24"/>
        </w:rPr>
        <w:t>)</w:t>
      </w:r>
      <w:r w:rsidR="000355F6" w:rsidRPr="0096434D">
        <w:rPr>
          <w:rFonts w:ascii="Times New Roman" w:hAnsi="Times New Roman"/>
          <w:sz w:val="24"/>
          <w:szCs w:val="24"/>
        </w:rPr>
        <w:tab/>
      </w:r>
      <w:r w:rsidR="00B473EB" w:rsidRPr="0096434D">
        <w:rPr>
          <w:rFonts w:ascii="Times New Roman" w:hAnsi="Times New Roman"/>
          <w:sz w:val="24"/>
          <w:szCs w:val="24"/>
        </w:rPr>
        <w:t>сродни документ је било која техничка спецификација</w:t>
      </w:r>
      <w:r w:rsidR="00011C5C" w:rsidRPr="000773AB">
        <w:rPr>
          <w:rFonts w:ascii="Times New Roman" w:hAnsi="Times New Roman"/>
          <w:sz w:val="24"/>
          <w:szCs w:val="24"/>
          <w:lang w:val="sr-Cyrl-CS"/>
        </w:rPr>
        <w:t>, а</w:t>
      </w:r>
      <w:r w:rsidR="00011C5C" w:rsidRPr="0096434D">
        <w:rPr>
          <w:rFonts w:ascii="Times New Roman" w:hAnsi="Times New Roman"/>
          <w:sz w:val="24"/>
          <w:szCs w:val="24"/>
          <w:lang w:val="sr-Cyrl-CS"/>
        </w:rPr>
        <w:t xml:space="preserve"> која није стандард,</w:t>
      </w:r>
      <w:r w:rsidR="00B473EB" w:rsidRPr="0096434D">
        <w:rPr>
          <w:rFonts w:ascii="Times New Roman" w:hAnsi="Times New Roman"/>
          <w:sz w:val="24"/>
          <w:szCs w:val="24"/>
        </w:rPr>
        <w:t xml:space="preserve"> </w:t>
      </w:r>
      <w:r w:rsidR="006A4808" w:rsidRPr="0096434D">
        <w:rPr>
          <w:rFonts w:ascii="Times New Roman" w:hAnsi="Times New Roman"/>
          <w:sz w:val="24"/>
          <w:szCs w:val="24"/>
          <w:lang w:val="sr-Cyrl-RS"/>
        </w:rPr>
        <w:t xml:space="preserve">коју </w:t>
      </w:r>
      <w:r w:rsidR="00B473EB" w:rsidRPr="0096434D">
        <w:rPr>
          <w:rFonts w:ascii="Times New Roman" w:hAnsi="Times New Roman"/>
          <w:sz w:val="24"/>
          <w:szCs w:val="24"/>
        </w:rPr>
        <w:t xml:space="preserve">је донела међународна или европска организација за стандардизацију, односно национално тело за </w:t>
      </w:r>
      <w:r w:rsidR="00B473EB" w:rsidRPr="0096434D">
        <w:rPr>
          <w:rFonts w:ascii="Times New Roman" w:hAnsi="Times New Roman"/>
          <w:sz w:val="24"/>
          <w:szCs w:val="24"/>
        </w:rPr>
        <w:lastRenderedPageBreak/>
        <w:t xml:space="preserve">стандардизацију, за вишекратну или сталну употребу и са којом усаглашеност </w:t>
      </w:r>
      <w:r w:rsidR="006A4808" w:rsidRPr="0096434D">
        <w:rPr>
          <w:rFonts w:ascii="Times New Roman" w:hAnsi="Times New Roman"/>
          <w:sz w:val="24"/>
          <w:szCs w:val="24"/>
          <w:lang w:val="sr-Cyrl-RS"/>
        </w:rPr>
        <w:t xml:space="preserve">производа, процеса и услуга </w:t>
      </w:r>
      <w:r w:rsidR="00B473EB" w:rsidRPr="0096434D">
        <w:rPr>
          <w:rFonts w:ascii="Times New Roman" w:hAnsi="Times New Roman"/>
          <w:sz w:val="24"/>
          <w:szCs w:val="24"/>
        </w:rPr>
        <w:t>није обавезна</w:t>
      </w:r>
      <w:r w:rsidR="00950CF5" w:rsidRPr="0096434D">
        <w:rPr>
          <w:rFonts w:ascii="Times New Roman" w:hAnsi="Times New Roman"/>
          <w:sz w:val="24"/>
          <w:szCs w:val="24"/>
          <w:lang w:val="sr-Cyrl-RS"/>
        </w:rPr>
        <w:t>;</w:t>
      </w:r>
    </w:p>
    <w:p w:rsidR="00B473EB" w:rsidRPr="0096434D" w:rsidRDefault="00631865" w:rsidP="000355F6">
      <w:pPr>
        <w:autoSpaceDE w:val="0"/>
        <w:autoSpaceDN w:val="0"/>
        <w:adjustRightInd w:val="0"/>
        <w:spacing w:after="0" w:line="240" w:lineRule="auto"/>
        <w:ind w:firstLine="720"/>
        <w:jc w:val="both"/>
        <w:rPr>
          <w:rFonts w:ascii="Times New Roman" w:hAnsi="Times New Roman"/>
          <w:sz w:val="24"/>
          <w:szCs w:val="24"/>
        </w:rPr>
      </w:pPr>
      <w:r w:rsidRPr="0096434D">
        <w:rPr>
          <w:rFonts w:ascii="Times New Roman" w:hAnsi="Times New Roman"/>
          <w:sz w:val="24"/>
          <w:szCs w:val="24"/>
          <w:lang w:val="sr-Cyrl-RS"/>
        </w:rPr>
        <w:t>9</w:t>
      </w:r>
      <w:r w:rsidR="00B473EB" w:rsidRPr="0096434D">
        <w:rPr>
          <w:rFonts w:ascii="Times New Roman" w:hAnsi="Times New Roman"/>
          <w:sz w:val="24"/>
          <w:szCs w:val="24"/>
        </w:rPr>
        <w:t>) нацрт стандарда је техничк</w:t>
      </w:r>
      <w:r w:rsidR="00950CF5" w:rsidRPr="0096434D">
        <w:rPr>
          <w:rFonts w:ascii="Times New Roman" w:hAnsi="Times New Roman"/>
          <w:sz w:val="24"/>
          <w:szCs w:val="24"/>
          <w:lang w:val="sr-Cyrl-RS"/>
        </w:rPr>
        <w:t>а</w:t>
      </w:r>
      <w:r w:rsidR="00B473EB" w:rsidRPr="0096434D">
        <w:rPr>
          <w:rFonts w:ascii="Times New Roman" w:hAnsi="Times New Roman"/>
          <w:sz w:val="24"/>
          <w:szCs w:val="24"/>
        </w:rPr>
        <w:t xml:space="preserve"> спецификација</w:t>
      </w:r>
      <w:r w:rsidR="008C5BDF" w:rsidRPr="0096434D">
        <w:rPr>
          <w:rFonts w:ascii="Times New Roman" w:hAnsi="Times New Roman"/>
          <w:sz w:val="24"/>
          <w:szCs w:val="24"/>
          <w:lang w:val="sr-Cyrl-RS"/>
        </w:rPr>
        <w:t xml:space="preserve"> о </w:t>
      </w:r>
      <w:r w:rsidR="00B473EB" w:rsidRPr="0096434D">
        <w:rPr>
          <w:rFonts w:ascii="Times New Roman" w:hAnsi="Times New Roman"/>
          <w:sz w:val="24"/>
          <w:szCs w:val="24"/>
        </w:rPr>
        <w:t>одређен</w:t>
      </w:r>
      <w:r w:rsidR="008C5BDF" w:rsidRPr="0096434D">
        <w:rPr>
          <w:rFonts w:ascii="Times New Roman" w:hAnsi="Times New Roman"/>
          <w:sz w:val="24"/>
          <w:szCs w:val="24"/>
          <w:lang w:val="sr-Cyrl-RS"/>
        </w:rPr>
        <w:t>ом</w:t>
      </w:r>
      <w:r w:rsidR="00B473EB" w:rsidRPr="0096434D">
        <w:rPr>
          <w:rFonts w:ascii="Times New Roman" w:hAnsi="Times New Roman"/>
          <w:sz w:val="24"/>
          <w:szCs w:val="24"/>
        </w:rPr>
        <w:t xml:space="preserve"> предмет</w:t>
      </w:r>
      <w:r w:rsidR="008C5BDF" w:rsidRPr="0096434D">
        <w:rPr>
          <w:rFonts w:ascii="Times New Roman" w:hAnsi="Times New Roman"/>
          <w:sz w:val="24"/>
          <w:szCs w:val="24"/>
          <w:lang w:val="sr-Cyrl-RS"/>
        </w:rPr>
        <w:t>у</w:t>
      </w:r>
      <w:r w:rsidR="00B473EB" w:rsidRPr="0096434D">
        <w:rPr>
          <w:rFonts w:ascii="Times New Roman" w:hAnsi="Times New Roman"/>
          <w:sz w:val="24"/>
          <w:szCs w:val="24"/>
        </w:rPr>
        <w:t xml:space="preserve"> стандардизације</w:t>
      </w:r>
      <w:r w:rsidR="008C5BDF" w:rsidRPr="0096434D">
        <w:rPr>
          <w:rFonts w:ascii="Times New Roman" w:hAnsi="Times New Roman"/>
          <w:sz w:val="24"/>
          <w:szCs w:val="24"/>
          <w:lang w:val="sr-Cyrl-RS"/>
        </w:rPr>
        <w:t>,</w:t>
      </w:r>
      <w:r w:rsidR="00950CF5" w:rsidRPr="0096434D">
        <w:rPr>
          <w:rFonts w:ascii="Times New Roman" w:hAnsi="Times New Roman"/>
          <w:sz w:val="24"/>
          <w:szCs w:val="24"/>
          <w:lang w:val="sr-Cyrl-RS"/>
        </w:rPr>
        <w:t xml:space="preserve"> </w:t>
      </w:r>
      <w:r w:rsidR="00B473EB" w:rsidRPr="0096434D">
        <w:rPr>
          <w:rFonts w:ascii="Times New Roman" w:hAnsi="Times New Roman"/>
          <w:sz w:val="24"/>
          <w:szCs w:val="24"/>
        </w:rPr>
        <w:t>кој</w:t>
      </w:r>
      <w:r w:rsidR="00304CFA" w:rsidRPr="0096434D">
        <w:rPr>
          <w:rFonts w:ascii="Times New Roman" w:hAnsi="Times New Roman"/>
          <w:sz w:val="24"/>
          <w:szCs w:val="24"/>
          <w:lang w:val="sr-Cyrl-CS"/>
        </w:rPr>
        <w:t xml:space="preserve">и </w:t>
      </w:r>
      <w:r w:rsidR="00B473EB" w:rsidRPr="0096434D">
        <w:rPr>
          <w:rFonts w:ascii="Times New Roman" w:hAnsi="Times New Roman"/>
          <w:sz w:val="24"/>
          <w:szCs w:val="24"/>
        </w:rPr>
        <w:t xml:space="preserve">се разматра </w:t>
      </w:r>
      <w:r w:rsidR="008C5BDF" w:rsidRPr="0096434D">
        <w:rPr>
          <w:rFonts w:ascii="Times New Roman" w:hAnsi="Times New Roman"/>
          <w:sz w:val="24"/>
          <w:szCs w:val="24"/>
          <w:lang w:val="sr-Cyrl-RS"/>
        </w:rPr>
        <w:t xml:space="preserve">ради </w:t>
      </w:r>
      <w:r w:rsidR="00B473EB" w:rsidRPr="0096434D">
        <w:rPr>
          <w:rFonts w:ascii="Times New Roman" w:hAnsi="Times New Roman"/>
          <w:sz w:val="24"/>
          <w:szCs w:val="24"/>
        </w:rPr>
        <w:t>доношењ</w:t>
      </w:r>
      <w:r w:rsidR="00304CFA" w:rsidRPr="0096434D">
        <w:rPr>
          <w:rFonts w:ascii="Times New Roman" w:hAnsi="Times New Roman"/>
          <w:sz w:val="24"/>
          <w:szCs w:val="24"/>
          <w:lang w:val="sr-Cyrl-CS"/>
        </w:rPr>
        <w:t>а</w:t>
      </w:r>
      <w:r w:rsidR="00304CFA" w:rsidRPr="0096434D">
        <w:rPr>
          <w:rFonts w:ascii="Times New Roman" w:hAnsi="Times New Roman"/>
          <w:sz w:val="24"/>
          <w:szCs w:val="24"/>
          <w:lang w:val="sr-Cyrl-RS"/>
        </w:rPr>
        <w:t xml:space="preserve"> и кој</w:t>
      </w:r>
      <w:r w:rsidR="00304CFA" w:rsidRPr="0096434D">
        <w:rPr>
          <w:rFonts w:ascii="Times New Roman" w:hAnsi="Times New Roman"/>
          <w:sz w:val="24"/>
          <w:szCs w:val="24"/>
          <w:lang w:val="sr-Cyrl-CS"/>
        </w:rPr>
        <w:t>и</w:t>
      </w:r>
      <w:r w:rsidR="00950CF5" w:rsidRPr="0096434D">
        <w:rPr>
          <w:rFonts w:ascii="Times New Roman" w:hAnsi="Times New Roman"/>
          <w:sz w:val="24"/>
          <w:szCs w:val="24"/>
          <w:lang w:val="sr-Cyrl-RS"/>
        </w:rPr>
        <w:t xml:space="preserve"> се, </w:t>
      </w:r>
      <w:r w:rsidR="00B473EB" w:rsidRPr="0096434D">
        <w:rPr>
          <w:rFonts w:ascii="Times New Roman" w:hAnsi="Times New Roman"/>
          <w:sz w:val="24"/>
          <w:szCs w:val="24"/>
        </w:rPr>
        <w:t>у складу са поступком за доношење стандарда, након фаза припреме, ставља на јавну расправу или разматрање;</w:t>
      </w:r>
    </w:p>
    <w:p w:rsidR="00E51C72" w:rsidRPr="0096434D" w:rsidRDefault="00631865" w:rsidP="000355F6">
      <w:pPr>
        <w:spacing w:after="0" w:line="240" w:lineRule="auto"/>
        <w:ind w:firstLine="720"/>
        <w:jc w:val="both"/>
        <w:rPr>
          <w:rFonts w:ascii="Times New Roman" w:hAnsi="Times New Roman"/>
          <w:sz w:val="24"/>
          <w:szCs w:val="24"/>
        </w:rPr>
      </w:pPr>
      <w:r w:rsidRPr="0096434D">
        <w:rPr>
          <w:rFonts w:ascii="Times New Roman" w:hAnsi="Times New Roman"/>
          <w:sz w:val="24"/>
          <w:szCs w:val="24"/>
          <w:lang w:val="sr-Cyrl-RS"/>
        </w:rPr>
        <w:t>10</w:t>
      </w:r>
      <w:r w:rsidR="00B473EB" w:rsidRPr="0096434D">
        <w:rPr>
          <w:rFonts w:ascii="Times New Roman" w:hAnsi="Times New Roman"/>
          <w:sz w:val="24"/>
          <w:szCs w:val="24"/>
        </w:rPr>
        <w:t xml:space="preserve">) </w:t>
      </w:r>
      <w:r w:rsidR="00E51C72" w:rsidRPr="0096434D">
        <w:rPr>
          <w:rFonts w:ascii="Times New Roman" w:hAnsi="Times New Roman"/>
          <w:sz w:val="24"/>
          <w:szCs w:val="24"/>
        </w:rPr>
        <w:t xml:space="preserve">техничка спецификација je документ који </w:t>
      </w:r>
      <w:r w:rsidR="00E51C72" w:rsidRPr="0096434D">
        <w:rPr>
          <w:rFonts w:ascii="Times New Roman" w:hAnsi="Times New Roman"/>
          <w:sz w:val="24"/>
          <w:szCs w:val="24"/>
          <w:lang w:val="sr-Cyrl-CS"/>
        </w:rPr>
        <w:t>утврђује</w:t>
      </w:r>
      <w:r w:rsidR="00E51C72" w:rsidRPr="0096434D">
        <w:rPr>
          <w:rFonts w:ascii="Times New Roman" w:hAnsi="Times New Roman"/>
          <w:sz w:val="24"/>
          <w:szCs w:val="24"/>
        </w:rPr>
        <w:t xml:space="preserve"> техничке захтеве које треба </w:t>
      </w:r>
      <w:r w:rsidR="00E51C72" w:rsidRPr="0096434D">
        <w:rPr>
          <w:rFonts w:ascii="Times New Roman" w:hAnsi="Times New Roman"/>
          <w:sz w:val="24"/>
          <w:szCs w:val="24"/>
          <w:lang w:val="sr-Cyrl-CS"/>
        </w:rPr>
        <w:t>да испуни</w:t>
      </w:r>
      <w:r w:rsidR="00E51C72" w:rsidRPr="0096434D">
        <w:rPr>
          <w:rFonts w:ascii="Times New Roman" w:hAnsi="Times New Roman"/>
          <w:sz w:val="24"/>
          <w:szCs w:val="24"/>
        </w:rPr>
        <w:t xml:space="preserve"> производ, процес или услуга и </w:t>
      </w:r>
      <w:r w:rsidR="00E51C72" w:rsidRPr="0096434D">
        <w:rPr>
          <w:rFonts w:ascii="Times New Roman" w:hAnsi="Times New Roman"/>
          <w:sz w:val="24"/>
          <w:szCs w:val="24"/>
          <w:lang w:val="sr-Cyrl-CS"/>
        </w:rPr>
        <w:t xml:space="preserve">којим се </w:t>
      </w:r>
      <w:r w:rsidR="00E51C72" w:rsidRPr="0096434D">
        <w:rPr>
          <w:rFonts w:ascii="Times New Roman" w:hAnsi="Times New Roman"/>
          <w:sz w:val="24"/>
          <w:szCs w:val="24"/>
        </w:rPr>
        <w:t xml:space="preserve">утврђује </w:t>
      </w:r>
      <w:r w:rsidR="00E51C72" w:rsidRPr="0096434D">
        <w:rPr>
          <w:rFonts w:ascii="Times New Roman" w:hAnsi="Times New Roman"/>
          <w:sz w:val="24"/>
          <w:szCs w:val="24"/>
          <w:lang w:val="sr-Cyrl-CS"/>
        </w:rPr>
        <w:t xml:space="preserve">најмање </w:t>
      </w:r>
      <w:r w:rsidR="00E51C72" w:rsidRPr="0096434D">
        <w:rPr>
          <w:rFonts w:ascii="Times New Roman" w:hAnsi="Times New Roman"/>
          <w:sz w:val="24"/>
          <w:szCs w:val="24"/>
        </w:rPr>
        <w:t>један од следећих елемената:</w:t>
      </w:r>
    </w:p>
    <w:p w:rsidR="00E51C72" w:rsidRPr="0096434D" w:rsidRDefault="00B47E3D" w:rsidP="000355F6">
      <w:pPr>
        <w:spacing w:after="0" w:line="240" w:lineRule="auto"/>
        <w:ind w:firstLine="720"/>
        <w:jc w:val="both"/>
        <w:rPr>
          <w:rFonts w:ascii="Times New Roman" w:hAnsi="Times New Roman"/>
          <w:sz w:val="24"/>
          <w:szCs w:val="24"/>
        </w:rPr>
      </w:pPr>
      <w:r w:rsidRPr="0096434D">
        <w:rPr>
          <w:rFonts w:ascii="Times New Roman" w:hAnsi="Times New Roman"/>
          <w:sz w:val="24"/>
          <w:szCs w:val="24"/>
          <w:lang w:val="sr-Cyrl-CS"/>
        </w:rPr>
        <w:t>-</w:t>
      </w:r>
      <w:r w:rsidR="000355F6" w:rsidRPr="0096434D">
        <w:rPr>
          <w:rFonts w:ascii="Times New Roman" w:hAnsi="Times New Roman"/>
          <w:sz w:val="24"/>
          <w:szCs w:val="24"/>
          <w:lang w:val="en-GB"/>
        </w:rPr>
        <w:t xml:space="preserve"> </w:t>
      </w:r>
      <w:r w:rsidR="00E51C72" w:rsidRPr="0096434D">
        <w:rPr>
          <w:rFonts w:ascii="Times New Roman" w:hAnsi="Times New Roman"/>
          <w:sz w:val="24"/>
          <w:szCs w:val="24"/>
          <w:lang w:val="sr-Cyrl-CS"/>
        </w:rPr>
        <w:t>потребне карактеристике</w:t>
      </w:r>
      <w:r w:rsidR="00E51C72" w:rsidRPr="0096434D">
        <w:rPr>
          <w:rFonts w:ascii="Times New Roman" w:hAnsi="Times New Roman"/>
          <w:sz w:val="24"/>
          <w:szCs w:val="24"/>
        </w:rPr>
        <w:t xml:space="preserve"> производа </w:t>
      </w:r>
      <w:r w:rsidR="00E2534C" w:rsidRPr="0096434D">
        <w:rPr>
          <w:rFonts w:ascii="Times New Roman" w:hAnsi="Times New Roman"/>
          <w:sz w:val="24"/>
          <w:szCs w:val="24"/>
          <w:lang w:val="sr-Cyrl-RS"/>
        </w:rPr>
        <w:t xml:space="preserve">које се односе на </w:t>
      </w:r>
      <w:r w:rsidR="00E51C72" w:rsidRPr="0096434D">
        <w:rPr>
          <w:rFonts w:ascii="Times New Roman" w:hAnsi="Times New Roman"/>
          <w:sz w:val="24"/>
          <w:szCs w:val="24"/>
          <w:lang w:val="sr-Cyrl-CS"/>
        </w:rPr>
        <w:t>ниво квалитета</w:t>
      </w:r>
      <w:r w:rsidR="00E51C72" w:rsidRPr="0096434D">
        <w:rPr>
          <w:rFonts w:ascii="Times New Roman" w:hAnsi="Times New Roman"/>
          <w:sz w:val="24"/>
          <w:szCs w:val="24"/>
        </w:rPr>
        <w:t xml:space="preserve">, </w:t>
      </w:r>
      <w:r w:rsidR="00E51C72" w:rsidRPr="0096434D">
        <w:rPr>
          <w:rFonts w:ascii="Times New Roman" w:hAnsi="Times New Roman"/>
          <w:sz w:val="24"/>
          <w:szCs w:val="24"/>
          <w:lang w:val="sr-Cyrl-CS"/>
        </w:rPr>
        <w:t>перформансе</w:t>
      </w:r>
      <w:r w:rsidR="00E51C72" w:rsidRPr="0096434D">
        <w:rPr>
          <w:rFonts w:ascii="Times New Roman" w:hAnsi="Times New Roman"/>
          <w:sz w:val="24"/>
          <w:szCs w:val="24"/>
        </w:rPr>
        <w:t xml:space="preserve">, </w:t>
      </w:r>
      <w:r w:rsidR="00E51C72" w:rsidRPr="0096434D">
        <w:rPr>
          <w:rFonts w:ascii="Times New Roman" w:hAnsi="Times New Roman"/>
          <w:sz w:val="24"/>
          <w:szCs w:val="24"/>
          <w:lang w:val="sr-Cyrl-CS"/>
        </w:rPr>
        <w:t>интероперабилност</w:t>
      </w:r>
      <w:r w:rsidR="00E51C72" w:rsidRPr="0096434D">
        <w:rPr>
          <w:rFonts w:ascii="Times New Roman" w:hAnsi="Times New Roman"/>
          <w:sz w:val="24"/>
          <w:szCs w:val="24"/>
        </w:rPr>
        <w:t>, заштит</w:t>
      </w:r>
      <w:r w:rsidR="00E2534C" w:rsidRPr="0096434D">
        <w:rPr>
          <w:rFonts w:ascii="Times New Roman" w:hAnsi="Times New Roman"/>
          <w:sz w:val="24"/>
          <w:szCs w:val="24"/>
          <w:lang w:val="sr-Cyrl-RS"/>
        </w:rPr>
        <w:t>у</w:t>
      </w:r>
      <w:r w:rsidR="00E51C72" w:rsidRPr="0096434D">
        <w:rPr>
          <w:rFonts w:ascii="Times New Roman" w:hAnsi="Times New Roman"/>
          <w:sz w:val="24"/>
          <w:szCs w:val="24"/>
        </w:rPr>
        <w:t xml:space="preserve"> </w:t>
      </w:r>
      <w:r w:rsidR="00E51C72" w:rsidRPr="0096434D">
        <w:rPr>
          <w:rFonts w:ascii="Times New Roman" w:hAnsi="Times New Roman"/>
          <w:sz w:val="24"/>
          <w:szCs w:val="24"/>
          <w:lang w:val="sr-Cyrl-CS"/>
        </w:rPr>
        <w:t>животне средине</w:t>
      </w:r>
      <w:r w:rsidR="00E51C72" w:rsidRPr="0096434D">
        <w:rPr>
          <w:rFonts w:ascii="Times New Roman" w:hAnsi="Times New Roman"/>
          <w:sz w:val="24"/>
          <w:szCs w:val="24"/>
        </w:rPr>
        <w:t xml:space="preserve">, </w:t>
      </w:r>
      <w:r w:rsidR="00B203C1" w:rsidRPr="0096434D">
        <w:rPr>
          <w:rFonts w:ascii="Times New Roman" w:hAnsi="Times New Roman"/>
          <w:sz w:val="24"/>
          <w:szCs w:val="24"/>
          <w:lang w:val="sr-Cyrl-RS"/>
        </w:rPr>
        <w:t>заштит</w:t>
      </w:r>
      <w:r w:rsidR="00E2534C" w:rsidRPr="0096434D">
        <w:rPr>
          <w:rFonts w:ascii="Times New Roman" w:hAnsi="Times New Roman"/>
          <w:sz w:val="24"/>
          <w:szCs w:val="24"/>
          <w:lang w:val="sr-Cyrl-RS"/>
        </w:rPr>
        <w:t>у</w:t>
      </w:r>
      <w:r w:rsidR="00B203C1" w:rsidRPr="0096434D">
        <w:rPr>
          <w:rFonts w:ascii="Times New Roman" w:hAnsi="Times New Roman"/>
          <w:sz w:val="24"/>
          <w:szCs w:val="24"/>
          <w:lang w:val="sr-Cyrl-RS"/>
        </w:rPr>
        <w:t xml:space="preserve"> </w:t>
      </w:r>
      <w:r w:rsidR="00E51C72" w:rsidRPr="0096434D">
        <w:rPr>
          <w:rFonts w:ascii="Times New Roman" w:hAnsi="Times New Roman"/>
          <w:sz w:val="24"/>
          <w:szCs w:val="24"/>
        </w:rPr>
        <w:t>здрављ</w:t>
      </w:r>
      <w:r w:rsidR="00B203C1" w:rsidRPr="0096434D">
        <w:rPr>
          <w:rFonts w:ascii="Times New Roman" w:hAnsi="Times New Roman"/>
          <w:sz w:val="24"/>
          <w:szCs w:val="24"/>
          <w:lang w:val="sr-Cyrl-RS"/>
        </w:rPr>
        <w:t xml:space="preserve">а и </w:t>
      </w:r>
      <w:r w:rsidR="00E51C72" w:rsidRPr="0096434D">
        <w:rPr>
          <w:rFonts w:ascii="Times New Roman" w:hAnsi="Times New Roman"/>
          <w:sz w:val="24"/>
          <w:szCs w:val="24"/>
          <w:lang w:val="sr-Cyrl-CS"/>
        </w:rPr>
        <w:t>безбедност</w:t>
      </w:r>
      <w:r w:rsidR="0013455A" w:rsidRPr="0096434D">
        <w:rPr>
          <w:rFonts w:ascii="Times New Roman" w:hAnsi="Times New Roman"/>
          <w:sz w:val="24"/>
          <w:szCs w:val="24"/>
          <w:lang w:val="sr-Cyrl-CS"/>
        </w:rPr>
        <w:t>и</w:t>
      </w:r>
      <w:r w:rsidR="00B203C1" w:rsidRPr="0096434D">
        <w:rPr>
          <w:rFonts w:ascii="Times New Roman" w:hAnsi="Times New Roman"/>
          <w:sz w:val="24"/>
          <w:szCs w:val="24"/>
          <w:lang w:val="sr-Cyrl-CS"/>
        </w:rPr>
        <w:t>,</w:t>
      </w:r>
      <w:r w:rsidR="00E51C72" w:rsidRPr="0096434D">
        <w:rPr>
          <w:rFonts w:ascii="Times New Roman" w:hAnsi="Times New Roman"/>
          <w:sz w:val="24"/>
          <w:szCs w:val="24"/>
        </w:rPr>
        <w:t xml:space="preserve"> </w:t>
      </w:r>
      <w:r w:rsidR="00B203C1" w:rsidRPr="0096434D">
        <w:rPr>
          <w:rFonts w:ascii="Times New Roman" w:hAnsi="Times New Roman"/>
          <w:sz w:val="24"/>
          <w:szCs w:val="24"/>
          <w:lang w:val="sr-Cyrl-RS"/>
        </w:rPr>
        <w:t xml:space="preserve">као и </w:t>
      </w:r>
      <w:r w:rsidR="00E51C72" w:rsidRPr="0096434D">
        <w:rPr>
          <w:rFonts w:ascii="Times New Roman" w:hAnsi="Times New Roman"/>
          <w:sz w:val="24"/>
          <w:szCs w:val="24"/>
        </w:rPr>
        <w:t>димензије, укључујући захтеве који се</w:t>
      </w:r>
      <w:r w:rsidR="00507079" w:rsidRPr="0096434D">
        <w:rPr>
          <w:rFonts w:ascii="Times New Roman" w:hAnsi="Times New Roman"/>
          <w:sz w:val="24"/>
          <w:szCs w:val="24"/>
        </w:rPr>
        <w:t xml:space="preserve"> односе на назив под којим се</w:t>
      </w:r>
      <w:r w:rsidR="00E51C72" w:rsidRPr="0096434D">
        <w:rPr>
          <w:rFonts w:ascii="Times New Roman" w:hAnsi="Times New Roman"/>
          <w:sz w:val="24"/>
          <w:szCs w:val="24"/>
        </w:rPr>
        <w:t xml:space="preserve"> </w:t>
      </w:r>
      <w:r w:rsidR="00507079" w:rsidRPr="0096434D">
        <w:rPr>
          <w:rFonts w:ascii="Times New Roman" w:hAnsi="Times New Roman"/>
          <w:sz w:val="24"/>
          <w:szCs w:val="24"/>
        </w:rPr>
        <w:t xml:space="preserve">производ </w:t>
      </w:r>
      <w:r w:rsidR="00E51C72" w:rsidRPr="0096434D">
        <w:rPr>
          <w:rFonts w:ascii="Times New Roman" w:hAnsi="Times New Roman"/>
          <w:sz w:val="24"/>
          <w:szCs w:val="24"/>
        </w:rPr>
        <w:t xml:space="preserve">продаје, </w:t>
      </w:r>
      <w:r w:rsidR="00E51C72" w:rsidRPr="0096434D">
        <w:rPr>
          <w:rFonts w:ascii="Times New Roman" w:hAnsi="Times New Roman"/>
          <w:sz w:val="24"/>
          <w:szCs w:val="24"/>
          <w:lang w:val="sr-Cyrl-CS"/>
        </w:rPr>
        <w:t>терминологију</w:t>
      </w:r>
      <w:r w:rsidR="00E51C72" w:rsidRPr="0096434D">
        <w:rPr>
          <w:rFonts w:ascii="Times New Roman" w:hAnsi="Times New Roman"/>
          <w:sz w:val="24"/>
          <w:szCs w:val="24"/>
        </w:rPr>
        <w:t xml:space="preserve">, симболе, испитивања и методе испитивања, </w:t>
      </w:r>
      <w:r w:rsidR="00E51C72" w:rsidRPr="0096434D">
        <w:rPr>
          <w:rFonts w:ascii="Times New Roman" w:hAnsi="Times New Roman"/>
          <w:sz w:val="24"/>
          <w:szCs w:val="24"/>
          <w:lang w:val="sr-Cyrl-CS"/>
        </w:rPr>
        <w:t>паковање</w:t>
      </w:r>
      <w:r w:rsidR="00E51C72" w:rsidRPr="0096434D">
        <w:rPr>
          <w:rFonts w:ascii="Times New Roman" w:hAnsi="Times New Roman"/>
          <w:sz w:val="24"/>
          <w:szCs w:val="24"/>
        </w:rPr>
        <w:t>, означ</w:t>
      </w:r>
      <w:r w:rsidR="00E51C72" w:rsidRPr="0096434D">
        <w:rPr>
          <w:rFonts w:ascii="Times New Roman" w:hAnsi="Times New Roman"/>
          <w:sz w:val="24"/>
          <w:szCs w:val="24"/>
          <w:lang w:val="sr-Cyrl-CS"/>
        </w:rPr>
        <w:t>а</w:t>
      </w:r>
      <w:r w:rsidR="00E51C72" w:rsidRPr="0096434D">
        <w:rPr>
          <w:rFonts w:ascii="Times New Roman" w:hAnsi="Times New Roman"/>
          <w:sz w:val="24"/>
          <w:szCs w:val="24"/>
        </w:rPr>
        <w:t xml:space="preserve">вање или </w:t>
      </w:r>
      <w:r w:rsidR="00E51C72" w:rsidRPr="0096434D">
        <w:rPr>
          <w:rFonts w:ascii="Times New Roman" w:hAnsi="Times New Roman"/>
          <w:sz w:val="24"/>
          <w:szCs w:val="24"/>
          <w:lang w:val="sr-Cyrl-CS"/>
        </w:rPr>
        <w:t>обележавање</w:t>
      </w:r>
      <w:r w:rsidR="00A35AC8" w:rsidRPr="0096434D">
        <w:rPr>
          <w:rFonts w:ascii="Times New Roman" w:hAnsi="Times New Roman"/>
          <w:sz w:val="24"/>
          <w:szCs w:val="24"/>
          <w:lang w:val="sr-Cyrl-CS"/>
        </w:rPr>
        <w:t>,</w:t>
      </w:r>
      <w:r w:rsidR="00E51C72" w:rsidRPr="0096434D">
        <w:rPr>
          <w:rFonts w:ascii="Times New Roman" w:hAnsi="Times New Roman"/>
          <w:sz w:val="24"/>
          <w:szCs w:val="24"/>
        </w:rPr>
        <w:t xml:space="preserve"> поступке </w:t>
      </w:r>
      <w:r w:rsidR="00E51C72" w:rsidRPr="0096434D">
        <w:rPr>
          <w:rFonts w:ascii="Times New Roman" w:hAnsi="Times New Roman"/>
          <w:sz w:val="24"/>
          <w:szCs w:val="24"/>
          <w:lang w:val="sr-Cyrl-CS"/>
        </w:rPr>
        <w:t>оцењивања усаглашености</w:t>
      </w:r>
      <w:r w:rsidR="00A35AC8" w:rsidRPr="0096434D">
        <w:rPr>
          <w:rFonts w:ascii="Times New Roman" w:hAnsi="Times New Roman"/>
          <w:sz w:val="24"/>
          <w:szCs w:val="24"/>
          <w:lang w:val="sr-Cyrl-CS"/>
        </w:rPr>
        <w:t xml:space="preserve"> и друге сличне елементе</w:t>
      </w:r>
      <w:r w:rsidR="00E51C72" w:rsidRPr="0096434D">
        <w:rPr>
          <w:rFonts w:ascii="Times New Roman" w:hAnsi="Times New Roman"/>
          <w:sz w:val="24"/>
          <w:szCs w:val="24"/>
        </w:rPr>
        <w:t>;</w:t>
      </w:r>
    </w:p>
    <w:p w:rsidR="00E51C72" w:rsidRPr="0096434D" w:rsidRDefault="00B47E3D" w:rsidP="000355F6">
      <w:pPr>
        <w:spacing w:after="0" w:line="240" w:lineRule="auto"/>
        <w:ind w:firstLine="720"/>
        <w:jc w:val="both"/>
        <w:rPr>
          <w:rFonts w:ascii="Times New Roman" w:hAnsi="Times New Roman"/>
          <w:sz w:val="24"/>
          <w:szCs w:val="24"/>
        </w:rPr>
      </w:pPr>
      <w:r w:rsidRPr="0096434D">
        <w:rPr>
          <w:rFonts w:ascii="Times New Roman" w:hAnsi="Times New Roman"/>
          <w:sz w:val="24"/>
          <w:szCs w:val="24"/>
          <w:lang w:val="sr-Cyrl-RS"/>
        </w:rPr>
        <w:t>-</w:t>
      </w:r>
      <w:r w:rsidR="000355F6" w:rsidRPr="0096434D">
        <w:rPr>
          <w:rFonts w:ascii="Times New Roman" w:hAnsi="Times New Roman"/>
          <w:sz w:val="24"/>
          <w:szCs w:val="24"/>
          <w:lang w:val="sr-Cyrl-RS"/>
        </w:rPr>
        <w:t xml:space="preserve"> </w:t>
      </w:r>
      <w:r w:rsidR="00E51C72" w:rsidRPr="0096434D">
        <w:rPr>
          <w:rFonts w:ascii="Times New Roman" w:hAnsi="Times New Roman"/>
          <w:sz w:val="24"/>
          <w:szCs w:val="24"/>
        </w:rPr>
        <w:t>методе производње и процес</w:t>
      </w:r>
      <w:r w:rsidR="00AC50EA" w:rsidRPr="0096434D">
        <w:rPr>
          <w:rFonts w:ascii="Times New Roman" w:hAnsi="Times New Roman"/>
          <w:sz w:val="24"/>
          <w:szCs w:val="24"/>
          <w:lang w:val="sr-Cyrl-CS"/>
        </w:rPr>
        <w:t>и</w:t>
      </w:r>
      <w:r w:rsidR="00323A69">
        <w:rPr>
          <w:rFonts w:ascii="Times New Roman" w:hAnsi="Times New Roman"/>
          <w:sz w:val="24"/>
          <w:szCs w:val="24"/>
          <w:lang w:val="sr-Cyrl-CS"/>
        </w:rPr>
        <w:t xml:space="preserve"> </w:t>
      </w:r>
      <w:r w:rsidR="00E51C72" w:rsidRPr="0096434D">
        <w:rPr>
          <w:rFonts w:ascii="Times New Roman" w:hAnsi="Times New Roman"/>
          <w:sz w:val="24"/>
          <w:szCs w:val="24"/>
        </w:rPr>
        <w:t xml:space="preserve">који се </w:t>
      </w:r>
      <w:r w:rsidR="00E51C72" w:rsidRPr="0096434D">
        <w:rPr>
          <w:rFonts w:ascii="Times New Roman" w:hAnsi="Times New Roman"/>
          <w:sz w:val="24"/>
          <w:szCs w:val="24"/>
          <w:lang w:val="sr-Cyrl-CS"/>
        </w:rPr>
        <w:t>користе</w:t>
      </w:r>
      <w:r w:rsidR="00E51C72" w:rsidRPr="0096434D">
        <w:rPr>
          <w:rFonts w:ascii="Times New Roman" w:hAnsi="Times New Roman"/>
          <w:sz w:val="24"/>
          <w:szCs w:val="24"/>
        </w:rPr>
        <w:t xml:space="preserve"> за пољопривредне производе, производе намењене за </w:t>
      </w:r>
      <w:r w:rsidR="005E08B2" w:rsidRPr="0096434D">
        <w:rPr>
          <w:rFonts w:ascii="Times New Roman" w:hAnsi="Times New Roman"/>
          <w:sz w:val="24"/>
          <w:szCs w:val="24"/>
          <w:lang w:val="sr-Cyrl-RS"/>
        </w:rPr>
        <w:t>исхрану људи и</w:t>
      </w:r>
      <w:r w:rsidR="005807D8" w:rsidRPr="0096434D">
        <w:rPr>
          <w:rFonts w:ascii="Times New Roman" w:hAnsi="Times New Roman"/>
          <w:sz w:val="24"/>
          <w:szCs w:val="24"/>
          <w:lang w:val="sr-Cyrl-RS"/>
        </w:rPr>
        <w:t>ли</w:t>
      </w:r>
      <w:r w:rsidR="005E08B2" w:rsidRPr="0096434D">
        <w:rPr>
          <w:rFonts w:ascii="Times New Roman" w:hAnsi="Times New Roman"/>
          <w:sz w:val="24"/>
          <w:szCs w:val="24"/>
          <w:lang w:val="sr-Cyrl-RS"/>
        </w:rPr>
        <w:t xml:space="preserve"> животиња </w:t>
      </w:r>
      <w:r w:rsidR="00E51C72" w:rsidRPr="0096434D">
        <w:rPr>
          <w:rFonts w:ascii="Times New Roman" w:hAnsi="Times New Roman"/>
          <w:sz w:val="24"/>
          <w:szCs w:val="24"/>
          <w:lang w:val="sr-Cyrl-CS"/>
        </w:rPr>
        <w:t>и</w:t>
      </w:r>
      <w:r w:rsidR="00E51C72" w:rsidRPr="0096434D">
        <w:rPr>
          <w:rFonts w:ascii="Times New Roman" w:hAnsi="Times New Roman"/>
          <w:sz w:val="24"/>
          <w:szCs w:val="24"/>
        </w:rPr>
        <w:t xml:space="preserve"> медицинске производе</w:t>
      </w:r>
      <w:r w:rsidR="00E51C72" w:rsidRPr="0096434D">
        <w:rPr>
          <w:rFonts w:ascii="Times New Roman" w:hAnsi="Times New Roman"/>
          <w:sz w:val="24"/>
          <w:szCs w:val="24"/>
          <w:lang w:val="sr-Cyrl-CS"/>
        </w:rPr>
        <w:t xml:space="preserve">, као и </w:t>
      </w:r>
      <w:r w:rsidR="00E51C72" w:rsidRPr="0096434D">
        <w:rPr>
          <w:rFonts w:ascii="Times New Roman" w:hAnsi="Times New Roman"/>
          <w:sz w:val="24"/>
          <w:szCs w:val="24"/>
        </w:rPr>
        <w:t>методе производње и процес</w:t>
      </w:r>
      <w:r w:rsidR="00B203C1" w:rsidRPr="0096434D">
        <w:rPr>
          <w:rFonts w:ascii="Times New Roman" w:hAnsi="Times New Roman"/>
          <w:sz w:val="24"/>
          <w:szCs w:val="24"/>
          <w:lang w:val="sr-Cyrl-RS"/>
        </w:rPr>
        <w:t>е</w:t>
      </w:r>
      <w:r w:rsidR="00E51C72" w:rsidRPr="0096434D">
        <w:rPr>
          <w:rFonts w:ascii="Times New Roman" w:hAnsi="Times New Roman"/>
          <w:sz w:val="24"/>
          <w:szCs w:val="24"/>
        </w:rPr>
        <w:t xml:space="preserve"> који се односе на друге производе кад</w:t>
      </w:r>
      <w:r w:rsidR="00E51C72" w:rsidRPr="0096434D">
        <w:rPr>
          <w:rFonts w:ascii="Times New Roman" w:hAnsi="Times New Roman"/>
          <w:sz w:val="24"/>
          <w:szCs w:val="24"/>
          <w:lang w:val="sr-Cyrl-CS"/>
        </w:rPr>
        <w:t>а</w:t>
      </w:r>
      <w:r w:rsidR="00E51C72" w:rsidRPr="0096434D">
        <w:rPr>
          <w:rFonts w:ascii="Times New Roman" w:hAnsi="Times New Roman"/>
          <w:sz w:val="24"/>
          <w:szCs w:val="24"/>
        </w:rPr>
        <w:t xml:space="preserve"> они </w:t>
      </w:r>
      <w:r w:rsidR="00E51C72" w:rsidRPr="0096434D">
        <w:rPr>
          <w:rFonts w:ascii="Times New Roman" w:hAnsi="Times New Roman"/>
          <w:sz w:val="24"/>
          <w:szCs w:val="24"/>
          <w:lang w:val="sr-Cyrl-CS"/>
        </w:rPr>
        <w:t>утичу</w:t>
      </w:r>
      <w:r w:rsidR="00E51C72" w:rsidRPr="0096434D">
        <w:rPr>
          <w:rFonts w:ascii="Times New Roman" w:hAnsi="Times New Roman"/>
          <w:sz w:val="24"/>
          <w:szCs w:val="24"/>
        </w:rPr>
        <w:t xml:space="preserve"> на </w:t>
      </w:r>
      <w:r w:rsidR="00E51C72" w:rsidRPr="0096434D">
        <w:rPr>
          <w:rFonts w:ascii="Times New Roman" w:hAnsi="Times New Roman"/>
          <w:sz w:val="24"/>
          <w:szCs w:val="24"/>
          <w:lang w:val="sr-Cyrl-CS"/>
        </w:rPr>
        <w:t>карактеристике производа</w:t>
      </w:r>
      <w:r w:rsidR="00E51C72" w:rsidRPr="0096434D">
        <w:rPr>
          <w:rFonts w:ascii="Times New Roman" w:hAnsi="Times New Roman"/>
          <w:sz w:val="24"/>
          <w:szCs w:val="24"/>
        </w:rPr>
        <w:t>;</w:t>
      </w:r>
    </w:p>
    <w:p w:rsidR="00E51C72" w:rsidRPr="0096434D" w:rsidRDefault="00B47E3D" w:rsidP="000355F6">
      <w:pPr>
        <w:spacing w:after="0" w:line="240" w:lineRule="auto"/>
        <w:ind w:firstLine="720"/>
        <w:jc w:val="both"/>
        <w:rPr>
          <w:rFonts w:ascii="Times New Roman" w:hAnsi="Times New Roman"/>
          <w:sz w:val="24"/>
          <w:szCs w:val="24"/>
        </w:rPr>
      </w:pPr>
      <w:r w:rsidRPr="0096434D">
        <w:rPr>
          <w:rFonts w:ascii="Times New Roman" w:hAnsi="Times New Roman"/>
          <w:sz w:val="24"/>
          <w:szCs w:val="24"/>
          <w:lang w:val="sr-Cyrl-CS"/>
        </w:rPr>
        <w:t>-</w:t>
      </w:r>
      <w:r w:rsidR="000355F6" w:rsidRPr="0096434D">
        <w:rPr>
          <w:rFonts w:ascii="Times New Roman" w:hAnsi="Times New Roman"/>
          <w:sz w:val="24"/>
          <w:szCs w:val="24"/>
          <w:lang w:val="en-GB"/>
        </w:rPr>
        <w:t xml:space="preserve"> </w:t>
      </w:r>
      <w:r w:rsidR="00E51C72" w:rsidRPr="0096434D">
        <w:rPr>
          <w:rFonts w:ascii="Times New Roman" w:hAnsi="Times New Roman"/>
          <w:sz w:val="24"/>
          <w:szCs w:val="24"/>
          <w:lang w:val="sr-Cyrl-CS"/>
        </w:rPr>
        <w:t>потребне</w:t>
      </w:r>
      <w:r w:rsidR="00E51C72" w:rsidRPr="0096434D">
        <w:rPr>
          <w:rFonts w:ascii="Times New Roman" w:hAnsi="Times New Roman"/>
          <w:sz w:val="24"/>
          <w:szCs w:val="24"/>
        </w:rPr>
        <w:t xml:space="preserve"> </w:t>
      </w:r>
      <w:r w:rsidR="00E51C72" w:rsidRPr="0096434D">
        <w:rPr>
          <w:rFonts w:ascii="Times New Roman" w:hAnsi="Times New Roman"/>
          <w:sz w:val="24"/>
          <w:szCs w:val="24"/>
          <w:lang w:val="sr-Cyrl-CS"/>
        </w:rPr>
        <w:t xml:space="preserve">карактеристике </w:t>
      </w:r>
      <w:r w:rsidR="00E51C72" w:rsidRPr="0096434D">
        <w:rPr>
          <w:rFonts w:ascii="Times New Roman" w:hAnsi="Times New Roman"/>
          <w:sz w:val="24"/>
          <w:szCs w:val="24"/>
        </w:rPr>
        <w:t>за услуге</w:t>
      </w:r>
      <w:r w:rsidR="0000383C" w:rsidRPr="0096434D">
        <w:rPr>
          <w:rFonts w:ascii="Times New Roman" w:hAnsi="Times New Roman"/>
          <w:sz w:val="24"/>
          <w:szCs w:val="24"/>
          <w:lang w:val="sr-Cyrl-CS"/>
        </w:rPr>
        <w:t>, као што су</w:t>
      </w:r>
      <w:r w:rsidR="00E51C72" w:rsidRPr="0096434D">
        <w:rPr>
          <w:rFonts w:ascii="Times New Roman" w:hAnsi="Times New Roman"/>
          <w:sz w:val="24"/>
          <w:szCs w:val="24"/>
        </w:rPr>
        <w:t xml:space="preserve"> </w:t>
      </w:r>
      <w:r w:rsidR="00E51C72" w:rsidRPr="0096434D">
        <w:rPr>
          <w:rFonts w:ascii="Times New Roman" w:hAnsi="Times New Roman"/>
          <w:sz w:val="24"/>
          <w:szCs w:val="24"/>
          <w:lang w:val="sr-Cyrl-CS"/>
        </w:rPr>
        <w:t>ниво квалитета</w:t>
      </w:r>
      <w:r w:rsidR="00E51C72" w:rsidRPr="0096434D">
        <w:rPr>
          <w:rFonts w:ascii="Times New Roman" w:hAnsi="Times New Roman"/>
          <w:sz w:val="24"/>
          <w:szCs w:val="24"/>
        </w:rPr>
        <w:t xml:space="preserve">, </w:t>
      </w:r>
      <w:r w:rsidR="00E51C72" w:rsidRPr="0096434D">
        <w:rPr>
          <w:rFonts w:ascii="Times New Roman" w:hAnsi="Times New Roman"/>
          <w:sz w:val="24"/>
          <w:szCs w:val="24"/>
          <w:lang w:val="sr-Cyrl-CS"/>
        </w:rPr>
        <w:t>перформансе</w:t>
      </w:r>
      <w:r w:rsidR="00E51C72" w:rsidRPr="0096434D">
        <w:rPr>
          <w:rFonts w:ascii="Times New Roman" w:hAnsi="Times New Roman"/>
          <w:sz w:val="24"/>
          <w:szCs w:val="24"/>
        </w:rPr>
        <w:t xml:space="preserve">, </w:t>
      </w:r>
      <w:r w:rsidR="00E51C72" w:rsidRPr="0096434D">
        <w:rPr>
          <w:rFonts w:ascii="Times New Roman" w:hAnsi="Times New Roman"/>
          <w:sz w:val="24"/>
          <w:szCs w:val="24"/>
          <w:lang w:val="sr-Cyrl-CS"/>
        </w:rPr>
        <w:t>интероперабилност</w:t>
      </w:r>
      <w:r w:rsidR="00E51C72" w:rsidRPr="0096434D">
        <w:rPr>
          <w:rFonts w:ascii="Times New Roman" w:hAnsi="Times New Roman"/>
          <w:sz w:val="24"/>
          <w:szCs w:val="24"/>
        </w:rPr>
        <w:t>, заштит</w:t>
      </w:r>
      <w:r w:rsidR="0000383C" w:rsidRPr="0096434D">
        <w:rPr>
          <w:rFonts w:ascii="Times New Roman" w:hAnsi="Times New Roman"/>
          <w:sz w:val="24"/>
          <w:szCs w:val="24"/>
          <w:lang w:val="sr-Cyrl-CS"/>
        </w:rPr>
        <w:t>а</w:t>
      </w:r>
      <w:r w:rsidR="00E51C72" w:rsidRPr="0096434D">
        <w:rPr>
          <w:rFonts w:ascii="Times New Roman" w:hAnsi="Times New Roman"/>
          <w:sz w:val="24"/>
          <w:szCs w:val="24"/>
        </w:rPr>
        <w:t xml:space="preserve"> </w:t>
      </w:r>
      <w:r w:rsidR="00E51C72" w:rsidRPr="0096434D">
        <w:rPr>
          <w:rFonts w:ascii="Times New Roman" w:hAnsi="Times New Roman"/>
          <w:sz w:val="24"/>
          <w:szCs w:val="24"/>
          <w:lang w:val="sr-Cyrl-CS"/>
        </w:rPr>
        <w:t>животне средине</w:t>
      </w:r>
      <w:r w:rsidR="00E51C72" w:rsidRPr="0096434D">
        <w:rPr>
          <w:rFonts w:ascii="Times New Roman" w:hAnsi="Times New Roman"/>
          <w:sz w:val="24"/>
          <w:szCs w:val="24"/>
        </w:rPr>
        <w:t xml:space="preserve">, </w:t>
      </w:r>
      <w:r w:rsidR="00B203C1" w:rsidRPr="0096434D">
        <w:rPr>
          <w:rFonts w:ascii="Times New Roman" w:hAnsi="Times New Roman"/>
          <w:sz w:val="24"/>
          <w:szCs w:val="24"/>
          <w:lang w:val="sr-Cyrl-RS"/>
        </w:rPr>
        <w:t xml:space="preserve">заштита </w:t>
      </w:r>
      <w:r w:rsidR="00E51C72" w:rsidRPr="0096434D">
        <w:rPr>
          <w:rFonts w:ascii="Times New Roman" w:hAnsi="Times New Roman"/>
          <w:sz w:val="24"/>
          <w:szCs w:val="24"/>
        </w:rPr>
        <w:t>здрављ</w:t>
      </w:r>
      <w:r w:rsidR="00B203C1" w:rsidRPr="0096434D">
        <w:rPr>
          <w:rFonts w:ascii="Times New Roman" w:hAnsi="Times New Roman"/>
          <w:sz w:val="24"/>
          <w:szCs w:val="24"/>
          <w:lang w:val="sr-Cyrl-RS"/>
        </w:rPr>
        <w:t xml:space="preserve">а и </w:t>
      </w:r>
      <w:r w:rsidR="00E51C72" w:rsidRPr="0096434D">
        <w:rPr>
          <w:rFonts w:ascii="Times New Roman" w:hAnsi="Times New Roman"/>
          <w:sz w:val="24"/>
          <w:szCs w:val="24"/>
          <w:lang w:val="sr-Cyrl-CS"/>
        </w:rPr>
        <w:t>безбедност</w:t>
      </w:r>
      <w:r w:rsidR="0013455A" w:rsidRPr="0096434D">
        <w:rPr>
          <w:rFonts w:ascii="Times New Roman" w:hAnsi="Times New Roman"/>
          <w:sz w:val="24"/>
          <w:szCs w:val="24"/>
          <w:lang w:val="sr-Cyrl-CS"/>
        </w:rPr>
        <w:t>и</w:t>
      </w:r>
      <w:r w:rsidR="00B203C1" w:rsidRPr="0096434D">
        <w:rPr>
          <w:rFonts w:ascii="Times New Roman" w:hAnsi="Times New Roman"/>
          <w:sz w:val="24"/>
          <w:szCs w:val="24"/>
          <w:lang w:val="sr-Cyrl-CS"/>
        </w:rPr>
        <w:t>,</w:t>
      </w:r>
      <w:r w:rsidR="00E51C72" w:rsidRPr="0096434D">
        <w:rPr>
          <w:rFonts w:ascii="Times New Roman" w:hAnsi="Times New Roman"/>
          <w:sz w:val="24"/>
          <w:szCs w:val="24"/>
        </w:rPr>
        <w:t xml:space="preserve"> укључујући захтеве примењиве на пружа</w:t>
      </w:r>
      <w:r w:rsidR="00E51C72" w:rsidRPr="0096434D">
        <w:rPr>
          <w:rFonts w:ascii="Times New Roman" w:hAnsi="Times New Roman"/>
          <w:sz w:val="24"/>
          <w:szCs w:val="24"/>
          <w:lang w:val="sr-Cyrl-CS"/>
        </w:rPr>
        <w:t>оца</w:t>
      </w:r>
      <w:r w:rsidR="00E51C72" w:rsidRPr="0096434D">
        <w:rPr>
          <w:rFonts w:ascii="Times New Roman" w:hAnsi="Times New Roman"/>
          <w:sz w:val="24"/>
          <w:szCs w:val="24"/>
        </w:rPr>
        <w:t xml:space="preserve"> услуге кој</w:t>
      </w:r>
      <w:r w:rsidR="00E51C72" w:rsidRPr="0096434D">
        <w:rPr>
          <w:rFonts w:ascii="Times New Roman" w:hAnsi="Times New Roman"/>
          <w:sz w:val="24"/>
          <w:szCs w:val="24"/>
          <w:lang w:val="sr-Cyrl-CS"/>
        </w:rPr>
        <w:t>и</w:t>
      </w:r>
      <w:r w:rsidR="00E51C72" w:rsidRPr="0096434D">
        <w:rPr>
          <w:rFonts w:ascii="Times New Roman" w:hAnsi="Times New Roman"/>
          <w:sz w:val="24"/>
          <w:szCs w:val="24"/>
        </w:rPr>
        <w:t xml:space="preserve"> се односе на податке које треба ставити на располагање прима</w:t>
      </w:r>
      <w:r w:rsidR="00E51C72" w:rsidRPr="0096434D">
        <w:rPr>
          <w:rFonts w:ascii="Times New Roman" w:hAnsi="Times New Roman"/>
          <w:sz w:val="24"/>
          <w:szCs w:val="24"/>
          <w:lang w:val="sr-Cyrl-CS"/>
        </w:rPr>
        <w:t>оцу;</w:t>
      </w:r>
    </w:p>
    <w:p w:rsidR="00B473EB" w:rsidRPr="0096434D" w:rsidRDefault="00B47E3D" w:rsidP="000355F6">
      <w:pPr>
        <w:spacing w:after="0" w:line="240" w:lineRule="auto"/>
        <w:ind w:firstLine="720"/>
        <w:jc w:val="both"/>
        <w:rPr>
          <w:rFonts w:ascii="Times New Roman" w:hAnsi="Times New Roman"/>
          <w:sz w:val="24"/>
          <w:szCs w:val="24"/>
          <w:lang w:val="sr-Cyrl-RS"/>
        </w:rPr>
      </w:pPr>
      <w:r w:rsidRPr="0096434D">
        <w:rPr>
          <w:rFonts w:ascii="Times New Roman" w:hAnsi="Times New Roman"/>
          <w:sz w:val="24"/>
          <w:szCs w:val="24"/>
          <w:lang w:val="sr-Cyrl-RS"/>
        </w:rPr>
        <w:t>-</w:t>
      </w:r>
      <w:r w:rsidR="000355F6" w:rsidRPr="0096434D">
        <w:rPr>
          <w:rFonts w:ascii="Times New Roman" w:hAnsi="Times New Roman"/>
          <w:sz w:val="24"/>
          <w:szCs w:val="24"/>
          <w:lang w:val="sr-Cyrl-RS"/>
        </w:rPr>
        <w:t xml:space="preserve"> </w:t>
      </w:r>
      <w:r w:rsidR="00E51C72" w:rsidRPr="0096434D">
        <w:rPr>
          <w:rFonts w:ascii="Times New Roman" w:hAnsi="Times New Roman"/>
          <w:sz w:val="24"/>
          <w:szCs w:val="24"/>
        </w:rPr>
        <w:t xml:space="preserve">методе и </w:t>
      </w:r>
      <w:r w:rsidR="00E51C72" w:rsidRPr="0096434D">
        <w:rPr>
          <w:rFonts w:ascii="Times New Roman" w:hAnsi="Times New Roman"/>
          <w:sz w:val="24"/>
          <w:szCs w:val="24"/>
          <w:lang w:val="sr-Cyrl-CS"/>
        </w:rPr>
        <w:t>критеријум</w:t>
      </w:r>
      <w:r w:rsidR="00B203C1" w:rsidRPr="0096434D">
        <w:rPr>
          <w:rFonts w:ascii="Times New Roman" w:hAnsi="Times New Roman"/>
          <w:sz w:val="24"/>
          <w:szCs w:val="24"/>
          <w:lang w:val="sr-Cyrl-CS"/>
        </w:rPr>
        <w:t>и</w:t>
      </w:r>
      <w:r w:rsidR="00E51C72" w:rsidRPr="0096434D">
        <w:rPr>
          <w:rFonts w:ascii="Times New Roman" w:hAnsi="Times New Roman"/>
          <w:sz w:val="24"/>
          <w:szCs w:val="24"/>
          <w:lang w:val="sr-Cyrl-CS"/>
        </w:rPr>
        <w:t xml:space="preserve"> </w:t>
      </w:r>
      <w:r w:rsidR="00E51C72" w:rsidRPr="0096434D">
        <w:rPr>
          <w:rFonts w:ascii="Times New Roman" w:hAnsi="Times New Roman"/>
          <w:sz w:val="24"/>
          <w:szCs w:val="24"/>
        </w:rPr>
        <w:t>за оце</w:t>
      </w:r>
      <w:r w:rsidR="00E51C72" w:rsidRPr="0096434D">
        <w:rPr>
          <w:rFonts w:ascii="Times New Roman" w:hAnsi="Times New Roman"/>
          <w:sz w:val="24"/>
          <w:szCs w:val="24"/>
          <w:lang w:val="sr-Cyrl-CS"/>
        </w:rPr>
        <w:t>њивање</w:t>
      </w:r>
      <w:r w:rsidR="00E51C72" w:rsidRPr="0096434D">
        <w:rPr>
          <w:rFonts w:ascii="Times New Roman" w:hAnsi="Times New Roman"/>
          <w:sz w:val="24"/>
          <w:szCs w:val="24"/>
        </w:rPr>
        <w:t xml:space="preserve"> перформан</w:t>
      </w:r>
      <w:r w:rsidR="00E51C72" w:rsidRPr="0096434D">
        <w:rPr>
          <w:rFonts w:ascii="Times New Roman" w:hAnsi="Times New Roman"/>
          <w:sz w:val="24"/>
          <w:szCs w:val="24"/>
          <w:lang w:val="sr-Cyrl-CS"/>
        </w:rPr>
        <w:t>си</w:t>
      </w:r>
      <w:r w:rsidR="00E51C72" w:rsidRPr="0096434D">
        <w:rPr>
          <w:rFonts w:ascii="Times New Roman" w:hAnsi="Times New Roman"/>
          <w:sz w:val="24"/>
          <w:szCs w:val="24"/>
        </w:rPr>
        <w:t xml:space="preserve"> </w:t>
      </w:r>
      <w:r w:rsidR="00E51C72" w:rsidRPr="0096434D">
        <w:rPr>
          <w:rFonts w:ascii="Times New Roman" w:hAnsi="Times New Roman"/>
          <w:sz w:val="24"/>
          <w:szCs w:val="24"/>
          <w:lang w:val="sr-Cyrl-CS"/>
        </w:rPr>
        <w:t>грађевинских</w:t>
      </w:r>
      <w:r w:rsidR="006B207F" w:rsidRPr="0096434D">
        <w:rPr>
          <w:rFonts w:ascii="Times New Roman" w:hAnsi="Times New Roman"/>
          <w:sz w:val="24"/>
          <w:szCs w:val="24"/>
        </w:rPr>
        <w:t xml:space="preserve"> производа</w:t>
      </w:r>
      <w:r w:rsidR="006B207F" w:rsidRPr="0096434D">
        <w:rPr>
          <w:rFonts w:ascii="Times New Roman" w:hAnsi="Times New Roman"/>
          <w:sz w:val="24"/>
          <w:szCs w:val="24"/>
          <w:lang w:val="sr-Cyrl-RS"/>
        </w:rPr>
        <w:t>;</w:t>
      </w:r>
    </w:p>
    <w:p w:rsidR="00B473EB" w:rsidRPr="0096434D" w:rsidRDefault="00B473EB" w:rsidP="000355F6">
      <w:pPr>
        <w:tabs>
          <w:tab w:val="left" w:pos="1134"/>
        </w:tabs>
        <w:autoSpaceDE w:val="0"/>
        <w:autoSpaceDN w:val="0"/>
        <w:adjustRightInd w:val="0"/>
        <w:spacing w:after="0" w:line="240" w:lineRule="auto"/>
        <w:ind w:firstLine="720"/>
        <w:jc w:val="both"/>
        <w:rPr>
          <w:rFonts w:ascii="Times New Roman" w:hAnsi="Times New Roman"/>
          <w:sz w:val="24"/>
          <w:szCs w:val="24"/>
        </w:rPr>
      </w:pPr>
      <w:r w:rsidRPr="0096434D">
        <w:rPr>
          <w:rFonts w:ascii="Times New Roman" w:hAnsi="Times New Roman"/>
          <w:sz w:val="24"/>
          <w:szCs w:val="24"/>
        </w:rPr>
        <w:t>1</w:t>
      </w:r>
      <w:r w:rsidR="00631865" w:rsidRPr="0096434D">
        <w:rPr>
          <w:rFonts w:ascii="Times New Roman" w:hAnsi="Times New Roman"/>
          <w:sz w:val="24"/>
          <w:szCs w:val="24"/>
          <w:lang w:val="sr-Cyrl-RS"/>
        </w:rPr>
        <w:t>1</w:t>
      </w:r>
      <w:r w:rsidRPr="0096434D">
        <w:rPr>
          <w:rFonts w:ascii="Times New Roman" w:hAnsi="Times New Roman"/>
          <w:sz w:val="24"/>
          <w:szCs w:val="24"/>
        </w:rPr>
        <w:t>)</w:t>
      </w:r>
      <w:r w:rsidR="000355F6" w:rsidRPr="0096434D">
        <w:rPr>
          <w:rFonts w:ascii="Times New Roman" w:hAnsi="Times New Roman"/>
          <w:sz w:val="24"/>
          <w:szCs w:val="24"/>
        </w:rPr>
        <w:tab/>
      </w:r>
      <w:r w:rsidRPr="0096434D">
        <w:rPr>
          <w:rFonts w:ascii="Times New Roman" w:hAnsi="Times New Roman"/>
          <w:sz w:val="24"/>
          <w:szCs w:val="24"/>
        </w:rPr>
        <w:t>заинтересована страна је орган државне управе, привредно друштво, предузетник, организација потрошача</w:t>
      </w:r>
      <w:r w:rsidR="00AC4C64" w:rsidRPr="0096434D">
        <w:rPr>
          <w:rFonts w:ascii="Times New Roman" w:hAnsi="Times New Roman"/>
          <w:sz w:val="24"/>
          <w:szCs w:val="24"/>
          <w:lang w:val="sr-Cyrl-RS"/>
        </w:rPr>
        <w:t>, као</w:t>
      </w:r>
      <w:r w:rsidRPr="0096434D">
        <w:rPr>
          <w:rFonts w:ascii="Times New Roman" w:hAnsi="Times New Roman"/>
          <w:sz w:val="24"/>
          <w:szCs w:val="24"/>
        </w:rPr>
        <w:t xml:space="preserve"> и друго правно</w:t>
      </w:r>
      <w:r w:rsidR="00631865" w:rsidRPr="0096434D">
        <w:rPr>
          <w:rFonts w:ascii="Times New Roman" w:hAnsi="Times New Roman"/>
          <w:sz w:val="24"/>
          <w:szCs w:val="24"/>
          <w:lang w:val="sr-Cyrl-RS"/>
        </w:rPr>
        <w:t xml:space="preserve"> </w:t>
      </w:r>
      <w:r w:rsidRPr="0096434D">
        <w:rPr>
          <w:rFonts w:ascii="Times New Roman" w:hAnsi="Times New Roman"/>
          <w:sz w:val="24"/>
          <w:szCs w:val="24"/>
        </w:rPr>
        <w:t>или физичко лице</w:t>
      </w:r>
      <w:r w:rsidR="00AC4C64" w:rsidRPr="0096434D">
        <w:rPr>
          <w:rFonts w:ascii="Times New Roman" w:hAnsi="Times New Roman"/>
          <w:sz w:val="24"/>
          <w:szCs w:val="24"/>
          <w:lang w:val="sr-Cyrl-RS"/>
        </w:rPr>
        <w:t xml:space="preserve"> </w:t>
      </w:r>
      <w:r w:rsidRPr="0096434D">
        <w:rPr>
          <w:rFonts w:ascii="Times New Roman" w:hAnsi="Times New Roman"/>
          <w:sz w:val="24"/>
          <w:szCs w:val="24"/>
        </w:rPr>
        <w:t>које показује интерес за стандардизацију;</w:t>
      </w:r>
    </w:p>
    <w:p w:rsidR="00B473EB" w:rsidRPr="0096434D" w:rsidRDefault="00B473EB" w:rsidP="000355F6">
      <w:pPr>
        <w:autoSpaceDE w:val="0"/>
        <w:autoSpaceDN w:val="0"/>
        <w:adjustRightInd w:val="0"/>
        <w:spacing w:after="0" w:line="240" w:lineRule="auto"/>
        <w:ind w:firstLine="720"/>
        <w:jc w:val="both"/>
        <w:rPr>
          <w:rFonts w:ascii="Times New Roman" w:hAnsi="Times New Roman"/>
          <w:sz w:val="24"/>
          <w:szCs w:val="24"/>
        </w:rPr>
      </w:pPr>
      <w:r w:rsidRPr="0096434D">
        <w:rPr>
          <w:rFonts w:ascii="Times New Roman" w:hAnsi="Times New Roman"/>
          <w:sz w:val="24"/>
          <w:szCs w:val="24"/>
        </w:rPr>
        <w:t>1</w:t>
      </w:r>
      <w:r w:rsidR="00631865" w:rsidRPr="0096434D">
        <w:rPr>
          <w:rFonts w:ascii="Times New Roman" w:hAnsi="Times New Roman"/>
          <w:sz w:val="24"/>
          <w:szCs w:val="24"/>
          <w:lang w:val="sr-Cyrl-RS"/>
        </w:rPr>
        <w:t>2</w:t>
      </w:r>
      <w:r w:rsidRPr="0096434D">
        <w:rPr>
          <w:rFonts w:ascii="Times New Roman" w:hAnsi="Times New Roman"/>
          <w:sz w:val="24"/>
          <w:szCs w:val="24"/>
        </w:rPr>
        <w:t>)</w:t>
      </w:r>
      <w:r w:rsidR="000355F6" w:rsidRPr="0096434D">
        <w:rPr>
          <w:rFonts w:ascii="Times New Roman" w:hAnsi="Times New Roman"/>
          <w:sz w:val="24"/>
          <w:szCs w:val="24"/>
        </w:rPr>
        <w:t xml:space="preserve"> </w:t>
      </w:r>
      <w:r w:rsidRPr="0096434D">
        <w:rPr>
          <w:rFonts w:ascii="Times New Roman" w:hAnsi="Times New Roman"/>
          <w:sz w:val="24"/>
          <w:szCs w:val="24"/>
        </w:rPr>
        <w:t>консензус је начелна сагласност о било ком значајном питању, постигнута тако да се узму у обзир становишта свих заинтересованих страна и да се усагласе сви супротстављени ставови, при чему се под консензусом не подразумева једногласност у доношењу стандарда;</w:t>
      </w:r>
    </w:p>
    <w:p w:rsidR="00B473EB" w:rsidRPr="0096434D" w:rsidRDefault="00B473EB" w:rsidP="000355F6">
      <w:pPr>
        <w:tabs>
          <w:tab w:val="left" w:pos="1134"/>
        </w:tabs>
        <w:autoSpaceDE w:val="0"/>
        <w:autoSpaceDN w:val="0"/>
        <w:adjustRightInd w:val="0"/>
        <w:spacing w:after="0" w:line="240" w:lineRule="auto"/>
        <w:ind w:firstLine="720"/>
        <w:jc w:val="both"/>
        <w:rPr>
          <w:rFonts w:ascii="Times New Roman" w:hAnsi="Times New Roman"/>
          <w:sz w:val="24"/>
          <w:szCs w:val="24"/>
        </w:rPr>
      </w:pPr>
      <w:r w:rsidRPr="0096434D">
        <w:rPr>
          <w:rFonts w:ascii="Times New Roman" w:hAnsi="Times New Roman"/>
          <w:sz w:val="24"/>
          <w:szCs w:val="24"/>
        </w:rPr>
        <w:t>1</w:t>
      </w:r>
      <w:r w:rsidR="00631865" w:rsidRPr="0096434D">
        <w:rPr>
          <w:rFonts w:ascii="Times New Roman" w:hAnsi="Times New Roman"/>
          <w:sz w:val="24"/>
          <w:szCs w:val="24"/>
          <w:lang w:val="sr-Cyrl-RS"/>
        </w:rPr>
        <w:t>3</w:t>
      </w:r>
      <w:r w:rsidRPr="0096434D">
        <w:rPr>
          <w:rFonts w:ascii="Times New Roman" w:hAnsi="Times New Roman"/>
          <w:sz w:val="24"/>
          <w:szCs w:val="24"/>
        </w:rPr>
        <w:t>)</w:t>
      </w:r>
      <w:r w:rsidR="000355F6" w:rsidRPr="0096434D">
        <w:rPr>
          <w:rFonts w:ascii="Times New Roman" w:hAnsi="Times New Roman"/>
          <w:sz w:val="24"/>
          <w:szCs w:val="24"/>
        </w:rPr>
        <w:tab/>
      </w:r>
      <w:r w:rsidRPr="0096434D">
        <w:rPr>
          <w:rFonts w:ascii="Times New Roman" w:hAnsi="Times New Roman"/>
          <w:sz w:val="24"/>
          <w:szCs w:val="24"/>
        </w:rPr>
        <w:t>доношење стандарда или сродног документа је скуп координираних активности које започињу усвајањем предлога за доношење стандарда или сродног документа, а завршавају се доношењем акта којим се проглашава да је стандард или сродни документ донет;</w:t>
      </w:r>
    </w:p>
    <w:p w:rsidR="00B473EB" w:rsidRPr="0096434D" w:rsidRDefault="00B473EB" w:rsidP="000355F6">
      <w:pPr>
        <w:tabs>
          <w:tab w:val="left" w:pos="1134"/>
        </w:tabs>
        <w:autoSpaceDE w:val="0"/>
        <w:autoSpaceDN w:val="0"/>
        <w:adjustRightInd w:val="0"/>
        <w:spacing w:after="0" w:line="240" w:lineRule="auto"/>
        <w:ind w:firstLine="720"/>
        <w:jc w:val="both"/>
        <w:rPr>
          <w:rFonts w:ascii="Times New Roman" w:hAnsi="Times New Roman"/>
          <w:sz w:val="24"/>
          <w:szCs w:val="24"/>
        </w:rPr>
      </w:pPr>
      <w:r w:rsidRPr="0096434D">
        <w:rPr>
          <w:rFonts w:ascii="Times New Roman" w:hAnsi="Times New Roman"/>
          <w:sz w:val="24"/>
          <w:szCs w:val="24"/>
        </w:rPr>
        <w:t>1</w:t>
      </w:r>
      <w:r w:rsidR="00631865" w:rsidRPr="0096434D">
        <w:rPr>
          <w:rFonts w:ascii="Times New Roman" w:hAnsi="Times New Roman"/>
          <w:sz w:val="24"/>
          <w:szCs w:val="24"/>
          <w:lang w:val="sr-Cyrl-RS"/>
        </w:rPr>
        <w:t>4</w:t>
      </w:r>
      <w:r w:rsidRPr="0096434D">
        <w:rPr>
          <w:rFonts w:ascii="Times New Roman" w:hAnsi="Times New Roman"/>
          <w:sz w:val="24"/>
          <w:szCs w:val="24"/>
        </w:rPr>
        <w:t>)</w:t>
      </w:r>
      <w:r w:rsidR="000355F6" w:rsidRPr="0096434D">
        <w:rPr>
          <w:rFonts w:ascii="Times New Roman" w:hAnsi="Times New Roman"/>
          <w:sz w:val="24"/>
          <w:szCs w:val="24"/>
        </w:rPr>
        <w:tab/>
      </w:r>
      <w:r w:rsidRPr="0096434D">
        <w:rPr>
          <w:rFonts w:ascii="Times New Roman" w:hAnsi="Times New Roman"/>
          <w:sz w:val="24"/>
          <w:szCs w:val="24"/>
        </w:rPr>
        <w:t>оцењивање усаглашености производа, процеса и услуга са српским стандардима је активност којом се утврђује да ли су испуњени захтеви садржани у српским стандардима;</w:t>
      </w:r>
    </w:p>
    <w:p w:rsidR="00B473EB" w:rsidRPr="0096434D" w:rsidRDefault="00B473EB" w:rsidP="000355F6">
      <w:pPr>
        <w:autoSpaceDE w:val="0"/>
        <w:autoSpaceDN w:val="0"/>
        <w:adjustRightInd w:val="0"/>
        <w:spacing w:after="0" w:line="240" w:lineRule="auto"/>
        <w:ind w:firstLine="720"/>
        <w:jc w:val="both"/>
        <w:rPr>
          <w:rFonts w:ascii="Times New Roman" w:hAnsi="Times New Roman"/>
          <w:sz w:val="24"/>
          <w:szCs w:val="24"/>
        </w:rPr>
      </w:pPr>
      <w:r w:rsidRPr="0096434D">
        <w:rPr>
          <w:rFonts w:ascii="Times New Roman" w:hAnsi="Times New Roman"/>
          <w:sz w:val="24"/>
          <w:szCs w:val="24"/>
        </w:rPr>
        <w:t>1</w:t>
      </w:r>
      <w:r w:rsidR="00631865" w:rsidRPr="0096434D">
        <w:rPr>
          <w:rFonts w:ascii="Times New Roman" w:hAnsi="Times New Roman"/>
          <w:sz w:val="24"/>
          <w:szCs w:val="24"/>
          <w:lang w:val="sr-Cyrl-RS"/>
        </w:rPr>
        <w:t>5</w:t>
      </w:r>
      <w:r w:rsidRPr="0096434D">
        <w:rPr>
          <w:rFonts w:ascii="Times New Roman" w:hAnsi="Times New Roman"/>
          <w:sz w:val="24"/>
          <w:szCs w:val="24"/>
        </w:rPr>
        <w:t>) национални знак усаглашености је ознака којом се, у складу са правилима националног тела за стандардизацију у Републици Србији, потврђује усаглашеност производа, процеса и услуга са српским стандардом;</w:t>
      </w:r>
    </w:p>
    <w:p w:rsidR="00B473EB" w:rsidRPr="0096434D" w:rsidRDefault="00B473EB" w:rsidP="000355F6">
      <w:pPr>
        <w:autoSpaceDE w:val="0"/>
        <w:autoSpaceDN w:val="0"/>
        <w:adjustRightInd w:val="0"/>
        <w:spacing w:after="0" w:line="240" w:lineRule="auto"/>
        <w:ind w:firstLine="720"/>
        <w:jc w:val="both"/>
        <w:rPr>
          <w:rFonts w:ascii="Times New Roman" w:hAnsi="Times New Roman"/>
          <w:sz w:val="24"/>
          <w:szCs w:val="24"/>
        </w:rPr>
      </w:pPr>
      <w:r w:rsidRPr="0096434D">
        <w:rPr>
          <w:rFonts w:ascii="Times New Roman" w:hAnsi="Times New Roman"/>
          <w:sz w:val="24"/>
          <w:szCs w:val="24"/>
        </w:rPr>
        <w:t>1</w:t>
      </w:r>
      <w:r w:rsidR="00631865" w:rsidRPr="0096434D">
        <w:rPr>
          <w:rFonts w:ascii="Times New Roman" w:hAnsi="Times New Roman"/>
          <w:sz w:val="24"/>
          <w:szCs w:val="24"/>
          <w:lang w:val="sr-Cyrl-RS"/>
        </w:rPr>
        <w:t>6</w:t>
      </w:r>
      <w:r w:rsidRPr="0096434D">
        <w:rPr>
          <w:rFonts w:ascii="Times New Roman" w:hAnsi="Times New Roman"/>
          <w:sz w:val="24"/>
          <w:szCs w:val="24"/>
        </w:rPr>
        <w:t>) међународне организације за стандардизацију су:</w:t>
      </w:r>
    </w:p>
    <w:p w:rsidR="00B473EB" w:rsidRPr="0096434D" w:rsidRDefault="00B9100D" w:rsidP="000355F6">
      <w:pPr>
        <w:autoSpaceDE w:val="0"/>
        <w:autoSpaceDN w:val="0"/>
        <w:adjustRightInd w:val="0"/>
        <w:spacing w:after="0" w:line="240" w:lineRule="auto"/>
        <w:ind w:left="720"/>
        <w:jc w:val="both"/>
        <w:rPr>
          <w:rFonts w:ascii="Times New Roman" w:hAnsi="Times New Roman"/>
          <w:sz w:val="24"/>
          <w:szCs w:val="24"/>
        </w:rPr>
      </w:pPr>
      <w:r w:rsidRPr="0096434D">
        <w:rPr>
          <w:rFonts w:ascii="Times New Roman" w:hAnsi="Times New Roman"/>
          <w:sz w:val="24"/>
          <w:szCs w:val="24"/>
          <w:lang w:val="sr-Cyrl-RS"/>
        </w:rPr>
        <w:t xml:space="preserve">- </w:t>
      </w:r>
      <w:r w:rsidR="00B473EB" w:rsidRPr="0096434D">
        <w:rPr>
          <w:rFonts w:ascii="Times New Roman" w:hAnsi="Times New Roman"/>
          <w:sz w:val="24"/>
          <w:szCs w:val="24"/>
        </w:rPr>
        <w:t>Међународна организација за стандардизацију (ISO);</w:t>
      </w:r>
    </w:p>
    <w:p w:rsidR="00B473EB" w:rsidRPr="0096434D" w:rsidRDefault="00B9100D" w:rsidP="000355F6">
      <w:pPr>
        <w:autoSpaceDE w:val="0"/>
        <w:autoSpaceDN w:val="0"/>
        <w:adjustRightInd w:val="0"/>
        <w:spacing w:after="0" w:line="240" w:lineRule="auto"/>
        <w:ind w:left="720"/>
        <w:jc w:val="both"/>
        <w:rPr>
          <w:rFonts w:ascii="Times New Roman" w:hAnsi="Times New Roman"/>
          <w:sz w:val="24"/>
          <w:szCs w:val="24"/>
        </w:rPr>
      </w:pPr>
      <w:r w:rsidRPr="0096434D">
        <w:rPr>
          <w:rFonts w:ascii="Times New Roman" w:hAnsi="Times New Roman"/>
          <w:sz w:val="24"/>
          <w:szCs w:val="24"/>
          <w:lang w:val="sr-Cyrl-RS"/>
        </w:rPr>
        <w:t xml:space="preserve">- </w:t>
      </w:r>
      <w:r w:rsidR="00B473EB" w:rsidRPr="0096434D">
        <w:rPr>
          <w:rFonts w:ascii="Times New Roman" w:hAnsi="Times New Roman"/>
          <w:sz w:val="24"/>
          <w:szCs w:val="24"/>
        </w:rPr>
        <w:t>Међународна електротехничка комисија (IEC);</w:t>
      </w:r>
    </w:p>
    <w:p w:rsidR="00B473EB" w:rsidRPr="0096434D" w:rsidRDefault="00B9100D" w:rsidP="000355F6">
      <w:pPr>
        <w:autoSpaceDE w:val="0"/>
        <w:autoSpaceDN w:val="0"/>
        <w:adjustRightInd w:val="0"/>
        <w:spacing w:after="0" w:line="240" w:lineRule="auto"/>
        <w:ind w:left="714"/>
        <w:jc w:val="both"/>
        <w:rPr>
          <w:rFonts w:ascii="Times New Roman" w:hAnsi="Times New Roman"/>
          <w:sz w:val="24"/>
          <w:szCs w:val="24"/>
        </w:rPr>
      </w:pPr>
      <w:r w:rsidRPr="0096434D">
        <w:rPr>
          <w:rFonts w:ascii="Times New Roman" w:hAnsi="Times New Roman"/>
          <w:sz w:val="24"/>
          <w:szCs w:val="24"/>
          <w:lang w:val="sr-Cyrl-RS"/>
        </w:rPr>
        <w:t xml:space="preserve">- </w:t>
      </w:r>
      <w:r w:rsidR="00B473EB" w:rsidRPr="0096434D">
        <w:rPr>
          <w:rFonts w:ascii="Times New Roman" w:hAnsi="Times New Roman"/>
          <w:sz w:val="24"/>
          <w:szCs w:val="24"/>
        </w:rPr>
        <w:t xml:space="preserve">Међународна </w:t>
      </w:r>
      <w:r w:rsidR="000355F6" w:rsidRPr="0096434D">
        <w:rPr>
          <w:rFonts w:ascii="Times New Roman" w:hAnsi="Times New Roman"/>
          <w:sz w:val="24"/>
          <w:szCs w:val="24"/>
        </w:rPr>
        <w:t>унија за телекомуникације (ITU)</w:t>
      </w:r>
      <w:r w:rsidR="00C43566" w:rsidRPr="0096434D">
        <w:rPr>
          <w:rFonts w:ascii="Times New Roman" w:hAnsi="Times New Roman"/>
          <w:sz w:val="24"/>
          <w:szCs w:val="24"/>
          <w:lang w:val="sr-Cyrl-RS"/>
        </w:rPr>
        <w:t>;</w:t>
      </w:r>
    </w:p>
    <w:p w:rsidR="00B473EB" w:rsidRPr="0096434D" w:rsidRDefault="00B473EB" w:rsidP="000355F6">
      <w:pPr>
        <w:autoSpaceDE w:val="0"/>
        <w:autoSpaceDN w:val="0"/>
        <w:adjustRightInd w:val="0"/>
        <w:spacing w:after="0" w:line="240" w:lineRule="auto"/>
        <w:ind w:firstLine="714"/>
        <w:jc w:val="both"/>
        <w:rPr>
          <w:rFonts w:ascii="Times New Roman" w:hAnsi="Times New Roman"/>
          <w:sz w:val="24"/>
          <w:szCs w:val="24"/>
        </w:rPr>
      </w:pPr>
      <w:r w:rsidRPr="0096434D">
        <w:rPr>
          <w:rFonts w:ascii="Times New Roman" w:hAnsi="Times New Roman"/>
          <w:sz w:val="24"/>
          <w:szCs w:val="24"/>
        </w:rPr>
        <w:t>1</w:t>
      </w:r>
      <w:r w:rsidR="00631865" w:rsidRPr="0096434D">
        <w:rPr>
          <w:rFonts w:ascii="Times New Roman" w:hAnsi="Times New Roman"/>
          <w:sz w:val="24"/>
          <w:szCs w:val="24"/>
          <w:lang w:val="sr-Cyrl-RS"/>
        </w:rPr>
        <w:t>7</w:t>
      </w:r>
      <w:r w:rsidRPr="0096434D">
        <w:rPr>
          <w:rFonts w:ascii="Times New Roman" w:hAnsi="Times New Roman"/>
          <w:sz w:val="24"/>
          <w:szCs w:val="24"/>
        </w:rPr>
        <w:t>) европске организације за стандардизацију су:</w:t>
      </w:r>
    </w:p>
    <w:p w:rsidR="00B473EB" w:rsidRPr="0096434D" w:rsidRDefault="00B9100D" w:rsidP="000355F6">
      <w:pPr>
        <w:autoSpaceDE w:val="0"/>
        <w:autoSpaceDN w:val="0"/>
        <w:adjustRightInd w:val="0"/>
        <w:spacing w:after="0" w:line="240" w:lineRule="auto"/>
        <w:ind w:left="720"/>
        <w:jc w:val="both"/>
        <w:rPr>
          <w:rFonts w:ascii="Times New Roman" w:hAnsi="Times New Roman"/>
          <w:sz w:val="24"/>
          <w:szCs w:val="24"/>
        </w:rPr>
      </w:pPr>
      <w:r w:rsidRPr="0096434D">
        <w:rPr>
          <w:rFonts w:ascii="Times New Roman" w:hAnsi="Times New Roman"/>
          <w:sz w:val="24"/>
          <w:szCs w:val="24"/>
          <w:lang w:val="sr-Cyrl-RS"/>
        </w:rPr>
        <w:t xml:space="preserve">- </w:t>
      </w:r>
      <w:r w:rsidR="00B473EB" w:rsidRPr="0096434D">
        <w:rPr>
          <w:rFonts w:ascii="Times New Roman" w:hAnsi="Times New Roman"/>
          <w:sz w:val="24"/>
          <w:szCs w:val="24"/>
        </w:rPr>
        <w:t>Европски комитет за стандардизацију (CEN);</w:t>
      </w:r>
    </w:p>
    <w:p w:rsidR="00B473EB" w:rsidRPr="0096434D" w:rsidRDefault="00B9100D" w:rsidP="000355F6">
      <w:pPr>
        <w:autoSpaceDE w:val="0"/>
        <w:autoSpaceDN w:val="0"/>
        <w:adjustRightInd w:val="0"/>
        <w:spacing w:after="0" w:line="240" w:lineRule="auto"/>
        <w:ind w:left="720"/>
        <w:jc w:val="both"/>
        <w:rPr>
          <w:rFonts w:ascii="Times New Roman" w:hAnsi="Times New Roman"/>
          <w:sz w:val="24"/>
          <w:szCs w:val="24"/>
        </w:rPr>
      </w:pPr>
      <w:r w:rsidRPr="0096434D">
        <w:rPr>
          <w:rFonts w:ascii="Times New Roman" w:hAnsi="Times New Roman"/>
          <w:sz w:val="24"/>
          <w:szCs w:val="24"/>
          <w:lang w:val="sr-Cyrl-RS"/>
        </w:rPr>
        <w:t xml:space="preserve">- </w:t>
      </w:r>
      <w:r w:rsidR="00B473EB" w:rsidRPr="0096434D">
        <w:rPr>
          <w:rFonts w:ascii="Times New Roman" w:hAnsi="Times New Roman"/>
          <w:sz w:val="24"/>
          <w:szCs w:val="24"/>
        </w:rPr>
        <w:t>Европски комитет за стандардизацију у области електротехнике (CENELEC);</w:t>
      </w:r>
    </w:p>
    <w:p w:rsidR="00B473EB" w:rsidRPr="0096434D" w:rsidRDefault="00B9100D" w:rsidP="000355F6">
      <w:pPr>
        <w:autoSpaceDE w:val="0"/>
        <w:autoSpaceDN w:val="0"/>
        <w:adjustRightInd w:val="0"/>
        <w:spacing w:after="0" w:line="240" w:lineRule="auto"/>
        <w:ind w:left="720"/>
        <w:jc w:val="both"/>
        <w:rPr>
          <w:rFonts w:ascii="Times New Roman" w:hAnsi="Times New Roman"/>
          <w:sz w:val="24"/>
          <w:szCs w:val="24"/>
        </w:rPr>
      </w:pPr>
      <w:r w:rsidRPr="0096434D">
        <w:rPr>
          <w:rFonts w:ascii="Times New Roman" w:hAnsi="Times New Roman"/>
          <w:sz w:val="24"/>
          <w:szCs w:val="24"/>
          <w:lang w:val="sr-Cyrl-RS"/>
        </w:rPr>
        <w:t xml:space="preserve">- </w:t>
      </w:r>
      <w:r w:rsidR="00B473EB" w:rsidRPr="0096434D">
        <w:rPr>
          <w:rFonts w:ascii="Times New Roman" w:hAnsi="Times New Roman"/>
          <w:sz w:val="24"/>
          <w:szCs w:val="24"/>
        </w:rPr>
        <w:t>Европски институт за стандарде из области телекомуникација (ETSI)</w:t>
      </w:r>
      <w:r w:rsidR="00750415" w:rsidRPr="0096434D">
        <w:rPr>
          <w:rFonts w:ascii="Times New Roman" w:hAnsi="Times New Roman"/>
          <w:sz w:val="24"/>
          <w:szCs w:val="24"/>
          <w:lang w:val="sr-Cyrl-RS"/>
        </w:rPr>
        <w:t>;</w:t>
      </w:r>
    </w:p>
    <w:p w:rsidR="00B473EB" w:rsidRPr="0096434D" w:rsidRDefault="00B473EB" w:rsidP="000355F6">
      <w:pPr>
        <w:tabs>
          <w:tab w:val="left" w:pos="1134"/>
        </w:tabs>
        <w:autoSpaceDE w:val="0"/>
        <w:autoSpaceDN w:val="0"/>
        <w:adjustRightInd w:val="0"/>
        <w:spacing w:after="0" w:line="240" w:lineRule="auto"/>
        <w:ind w:firstLine="720"/>
        <w:jc w:val="both"/>
        <w:rPr>
          <w:rFonts w:ascii="Times New Roman" w:hAnsi="Times New Roman"/>
          <w:sz w:val="24"/>
          <w:szCs w:val="24"/>
        </w:rPr>
      </w:pPr>
      <w:r w:rsidRPr="0096434D">
        <w:rPr>
          <w:rFonts w:ascii="Times New Roman" w:hAnsi="Times New Roman"/>
          <w:sz w:val="24"/>
          <w:szCs w:val="24"/>
        </w:rPr>
        <w:lastRenderedPageBreak/>
        <w:t>1</w:t>
      </w:r>
      <w:r w:rsidR="00631865" w:rsidRPr="0096434D">
        <w:rPr>
          <w:rFonts w:ascii="Times New Roman" w:hAnsi="Times New Roman"/>
          <w:sz w:val="24"/>
          <w:szCs w:val="24"/>
          <w:lang w:val="sr-Cyrl-RS"/>
        </w:rPr>
        <w:t>8</w:t>
      </w:r>
      <w:r w:rsidRPr="0096434D">
        <w:rPr>
          <w:rFonts w:ascii="Times New Roman" w:hAnsi="Times New Roman"/>
          <w:sz w:val="24"/>
          <w:szCs w:val="24"/>
        </w:rPr>
        <w:t>)</w:t>
      </w:r>
      <w:r w:rsidR="000355F6" w:rsidRPr="0096434D">
        <w:rPr>
          <w:rFonts w:ascii="Times New Roman" w:hAnsi="Times New Roman"/>
          <w:sz w:val="24"/>
          <w:szCs w:val="24"/>
        </w:rPr>
        <w:tab/>
      </w:r>
      <w:r w:rsidRPr="0096434D">
        <w:rPr>
          <w:rFonts w:ascii="Times New Roman" w:hAnsi="Times New Roman"/>
          <w:sz w:val="24"/>
          <w:szCs w:val="24"/>
        </w:rPr>
        <w:t xml:space="preserve">национално тело за стандардизацију </w:t>
      </w:r>
      <w:r w:rsidR="0013455A" w:rsidRPr="0096434D">
        <w:rPr>
          <w:rFonts w:ascii="Times New Roman" w:hAnsi="Times New Roman"/>
          <w:sz w:val="24"/>
          <w:szCs w:val="24"/>
        </w:rPr>
        <w:t xml:space="preserve">је </w:t>
      </w:r>
      <w:r w:rsidR="00507079" w:rsidRPr="0096434D">
        <w:rPr>
          <w:rFonts w:ascii="Times New Roman" w:hAnsi="Times New Roman"/>
          <w:sz w:val="24"/>
          <w:szCs w:val="24"/>
          <w:lang w:val="sr-Cyrl-CS"/>
        </w:rPr>
        <w:t>организација</w:t>
      </w:r>
      <w:r w:rsidR="0013455A" w:rsidRPr="0096434D">
        <w:rPr>
          <w:rFonts w:ascii="Times New Roman" w:hAnsi="Times New Roman"/>
          <w:sz w:val="24"/>
          <w:szCs w:val="24"/>
        </w:rPr>
        <w:t xml:space="preserve"> </w:t>
      </w:r>
      <w:r w:rsidR="0013455A" w:rsidRPr="0096434D">
        <w:rPr>
          <w:rFonts w:ascii="Times New Roman" w:hAnsi="Times New Roman"/>
          <w:sz w:val="24"/>
          <w:szCs w:val="24"/>
          <w:lang w:val="sr-Cyrl-RS"/>
        </w:rPr>
        <w:t>за стандардизацију кој</w:t>
      </w:r>
      <w:r w:rsidR="006B207F" w:rsidRPr="0096434D">
        <w:rPr>
          <w:rFonts w:ascii="Times New Roman" w:hAnsi="Times New Roman"/>
          <w:sz w:val="24"/>
          <w:szCs w:val="24"/>
          <w:lang w:val="sr-Cyrl-RS"/>
        </w:rPr>
        <w:t>а</w:t>
      </w:r>
      <w:r w:rsidR="0013455A" w:rsidRPr="0096434D">
        <w:rPr>
          <w:rFonts w:ascii="Times New Roman" w:hAnsi="Times New Roman"/>
          <w:sz w:val="24"/>
          <w:szCs w:val="24"/>
          <w:lang w:val="sr-Cyrl-RS"/>
        </w:rPr>
        <w:t xml:space="preserve"> је </w:t>
      </w:r>
      <w:r w:rsidR="0013455A" w:rsidRPr="0096434D">
        <w:rPr>
          <w:rFonts w:ascii="Times New Roman" w:hAnsi="Times New Roman"/>
          <w:sz w:val="24"/>
          <w:szCs w:val="24"/>
          <w:lang w:val="sr-Cyrl-CS"/>
        </w:rPr>
        <w:t>признат</w:t>
      </w:r>
      <w:r w:rsidR="006B207F" w:rsidRPr="0096434D">
        <w:rPr>
          <w:rFonts w:ascii="Times New Roman" w:hAnsi="Times New Roman"/>
          <w:sz w:val="24"/>
          <w:szCs w:val="24"/>
          <w:lang w:val="sr-Cyrl-CS"/>
        </w:rPr>
        <w:t>а</w:t>
      </w:r>
      <w:r w:rsidR="0013455A" w:rsidRPr="0096434D">
        <w:rPr>
          <w:rFonts w:ascii="Times New Roman" w:hAnsi="Times New Roman"/>
          <w:sz w:val="24"/>
          <w:szCs w:val="24"/>
          <w:lang w:val="sr-Cyrl-CS"/>
        </w:rPr>
        <w:t xml:space="preserve"> </w:t>
      </w:r>
      <w:r w:rsidR="00DE08F3" w:rsidRPr="0096434D">
        <w:rPr>
          <w:rFonts w:ascii="Times New Roman" w:hAnsi="Times New Roman"/>
          <w:sz w:val="24"/>
          <w:szCs w:val="24"/>
          <w:lang w:val="sr-Cyrl-CS"/>
        </w:rPr>
        <w:t>од стране државе</w:t>
      </w:r>
      <w:r w:rsidR="0013455A" w:rsidRPr="0096434D">
        <w:rPr>
          <w:rFonts w:ascii="Times New Roman" w:hAnsi="Times New Roman"/>
          <w:sz w:val="24"/>
          <w:szCs w:val="24"/>
          <w:lang w:val="sr-Cyrl-CS"/>
        </w:rPr>
        <w:t xml:space="preserve">, а које </w:t>
      </w:r>
      <w:r w:rsidR="0013455A" w:rsidRPr="0096434D">
        <w:rPr>
          <w:rFonts w:ascii="Times New Roman" w:hAnsi="Times New Roman"/>
          <w:sz w:val="24"/>
          <w:szCs w:val="24"/>
        </w:rPr>
        <w:t>може бити члан одговарајуће међународне или европске организације за стандардизацију</w:t>
      </w:r>
      <w:r w:rsidR="006B207F" w:rsidRPr="0096434D">
        <w:rPr>
          <w:rFonts w:ascii="Times New Roman" w:hAnsi="Times New Roman"/>
          <w:sz w:val="24"/>
          <w:szCs w:val="24"/>
          <w:lang w:val="sr-Cyrl-RS"/>
        </w:rPr>
        <w:t>.</w:t>
      </w:r>
      <w:r w:rsidR="00980805">
        <w:rPr>
          <w:rFonts w:ascii="Times New Roman" w:hAnsi="Times New Roman"/>
          <w:sz w:val="24"/>
          <w:szCs w:val="24"/>
          <w:lang w:val="sr-Cyrl-RS"/>
        </w:rPr>
        <w:t>”</w:t>
      </w:r>
    </w:p>
    <w:p w:rsidR="00331176" w:rsidRPr="0096434D" w:rsidRDefault="00331176" w:rsidP="000355F6">
      <w:pPr>
        <w:autoSpaceDE w:val="0"/>
        <w:autoSpaceDN w:val="0"/>
        <w:adjustRightInd w:val="0"/>
        <w:spacing w:after="0" w:line="240" w:lineRule="auto"/>
        <w:jc w:val="both"/>
        <w:rPr>
          <w:rFonts w:ascii="Times New Roman" w:hAnsi="Times New Roman"/>
          <w:sz w:val="24"/>
          <w:szCs w:val="24"/>
          <w:lang w:val="sr-Cyrl-RS"/>
        </w:rPr>
      </w:pPr>
    </w:p>
    <w:p w:rsidR="0096434D" w:rsidRDefault="0096434D" w:rsidP="000355F6">
      <w:pPr>
        <w:autoSpaceDE w:val="0"/>
        <w:autoSpaceDN w:val="0"/>
        <w:adjustRightInd w:val="0"/>
        <w:spacing w:after="0" w:line="240" w:lineRule="auto"/>
        <w:jc w:val="center"/>
        <w:rPr>
          <w:rFonts w:ascii="Times New Roman" w:hAnsi="Times New Roman"/>
          <w:sz w:val="24"/>
          <w:szCs w:val="24"/>
          <w:lang w:val="sr-Cyrl-RS"/>
        </w:rPr>
      </w:pPr>
    </w:p>
    <w:p w:rsidR="0096434D" w:rsidRDefault="0096434D" w:rsidP="000355F6">
      <w:pPr>
        <w:autoSpaceDE w:val="0"/>
        <w:autoSpaceDN w:val="0"/>
        <w:adjustRightInd w:val="0"/>
        <w:spacing w:after="0" w:line="240" w:lineRule="auto"/>
        <w:jc w:val="center"/>
        <w:rPr>
          <w:rFonts w:ascii="Times New Roman" w:hAnsi="Times New Roman"/>
          <w:sz w:val="24"/>
          <w:szCs w:val="24"/>
          <w:lang w:val="sr-Cyrl-RS"/>
        </w:rPr>
      </w:pPr>
    </w:p>
    <w:p w:rsidR="00B473EB" w:rsidRPr="0096434D" w:rsidRDefault="00B473EB" w:rsidP="000355F6">
      <w:pPr>
        <w:autoSpaceDE w:val="0"/>
        <w:autoSpaceDN w:val="0"/>
        <w:adjustRightInd w:val="0"/>
        <w:spacing w:after="0" w:line="240" w:lineRule="auto"/>
        <w:jc w:val="center"/>
        <w:rPr>
          <w:rFonts w:ascii="Times New Roman" w:hAnsi="Times New Roman"/>
          <w:sz w:val="24"/>
          <w:szCs w:val="24"/>
        </w:rPr>
      </w:pPr>
      <w:r w:rsidRPr="0096434D">
        <w:rPr>
          <w:rFonts w:ascii="Times New Roman" w:hAnsi="Times New Roman"/>
          <w:sz w:val="24"/>
          <w:szCs w:val="24"/>
        </w:rPr>
        <w:t xml:space="preserve">Члан </w:t>
      </w:r>
      <w:r w:rsidR="006F63BD" w:rsidRPr="0096434D">
        <w:rPr>
          <w:rFonts w:ascii="Times New Roman" w:hAnsi="Times New Roman"/>
          <w:sz w:val="24"/>
          <w:szCs w:val="24"/>
          <w:lang w:val="sr-Cyrl-CS"/>
        </w:rPr>
        <w:t>4</w:t>
      </w:r>
      <w:r w:rsidRPr="0096434D">
        <w:rPr>
          <w:rFonts w:ascii="Times New Roman" w:hAnsi="Times New Roman"/>
          <w:sz w:val="24"/>
          <w:szCs w:val="24"/>
        </w:rPr>
        <w:t>.</w:t>
      </w:r>
    </w:p>
    <w:p w:rsidR="000355F6" w:rsidRPr="00F209F5" w:rsidRDefault="000355F6" w:rsidP="000355F6">
      <w:pPr>
        <w:autoSpaceDE w:val="0"/>
        <w:autoSpaceDN w:val="0"/>
        <w:adjustRightInd w:val="0"/>
        <w:spacing w:after="0" w:line="240" w:lineRule="auto"/>
        <w:jc w:val="center"/>
        <w:rPr>
          <w:rFonts w:ascii="Times New Roman" w:hAnsi="Times New Roman"/>
          <w:sz w:val="24"/>
          <w:szCs w:val="24"/>
        </w:rPr>
      </w:pPr>
    </w:p>
    <w:p w:rsidR="00B473EB" w:rsidRPr="00F209F5" w:rsidRDefault="00032F93" w:rsidP="000355F6">
      <w:pPr>
        <w:autoSpaceDE w:val="0"/>
        <w:autoSpaceDN w:val="0"/>
        <w:adjustRightInd w:val="0"/>
        <w:spacing w:after="0" w:line="240" w:lineRule="auto"/>
        <w:jc w:val="both"/>
        <w:rPr>
          <w:rFonts w:ascii="Times New Roman" w:hAnsi="Times New Roman"/>
          <w:sz w:val="24"/>
          <w:szCs w:val="24"/>
        </w:rPr>
      </w:pPr>
      <w:r w:rsidRPr="00F209F5">
        <w:rPr>
          <w:rFonts w:ascii="Times New Roman" w:hAnsi="Times New Roman"/>
          <w:sz w:val="24"/>
          <w:szCs w:val="24"/>
        </w:rPr>
        <w:t xml:space="preserve">            </w:t>
      </w:r>
      <w:r w:rsidR="00B473EB" w:rsidRPr="00F209F5">
        <w:rPr>
          <w:rFonts w:ascii="Times New Roman" w:hAnsi="Times New Roman"/>
          <w:sz w:val="24"/>
          <w:szCs w:val="24"/>
        </w:rPr>
        <w:t>У члану 6. став 1. мења се и гласи:</w:t>
      </w:r>
    </w:p>
    <w:p w:rsidR="00B473EB" w:rsidRPr="00F209F5" w:rsidRDefault="00032F93" w:rsidP="000355F6">
      <w:pPr>
        <w:autoSpaceDE w:val="0"/>
        <w:autoSpaceDN w:val="0"/>
        <w:adjustRightInd w:val="0"/>
        <w:spacing w:after="0" w:line="240" w:lineRule="auto"/>
        <w:jc w:val="both"/>
        <w:rPr>
          <w:rFonts w:ascii="Times New Roman" w:hAnsi="Times New Roman"/>
          <w:sz w:val="24"/>
          <w:szCs w:val="24"/>
        </w:rPr>
      </w:pPr>
      <w:r w:rsidRPr="00F209F5">
        <w:rPr>
          <w:rFonts w:ascii="Times New Roman" w:hAnsi="Times New Roman"/>
          <w:sz w:val="24"/>
          <w:szCs w:val="24"/>
        </w:rPr>
        <w:t xml:space="preserve">            </w:t>
      </w:r>
      <w:r w:rsidR="00B473EB" w:rsidRPr="00F209F5">
        <w:rPr>
          <w:rFonts w:ascii="Times New Roman" w:hAnsi="Times New Roman"/>
          <w:sz w:val="24"/>
          <w:szCs w:val="24"/>
        </w:rPr>
        <w:t>„Институт за стандардизацију Србије (у даљем тексту: Институт) је једино национално</w:t>
      </w:r>
      <w:r w:rsidRPr="00F209F5">
        <w:rPr>
          <w:rFonts w:ascii="Times New Roman" w:hAnsi="Times New Roman"/>
          <w:sz w:val="24"/>
          <w:szCs w:val="24"/>
        </w:rPr>
        <w:t xml:space="preserve"> </w:t>
      </w:r>
      <w:r w:rsidR="00B473EB" w:rsidRPr="00F209F5">
        <w:rPr>
          <w:rFonts w:ascii="Times New Roman" w:hAnsi="Times New Roman"/>
          <w:sz w:val="24"/>
          <w:szCs w:val="24"/>
        </w:rPr>
        <w:t>тело за стандардизацију у Републици Србији.”</w:t>
      </w:r>
    </w:p>
    <w:p w:rsidR="00B473EB" w:rsidRPr="00F209F5" w:rsidRDefault="00032F93" w:rsidP="000355F6">
      <w:pPr>
        <w:autoSpaceDE w:val="0"/>
        <w:autoSpaceDN w:val="0"/>
        <w:adjustRightInd w:val="0"/>
        <w:spacing w:after="0" w:line="240" w:lineRule="auto"/>
        <w:jc w:val="both"/>
        <w:rPr>
          <w:rFonts w:ascii="Times New Roman" w:hAnsi="Times New Roman"/>
          <w:sz w:val="24"/>
          <w:szCs w:val="24"/>
          <w:lang w:val="sr-Cyrl-RS"/>
        </w:rPr>
      </w:pPr>
      <w:r w:rsidRPr="00F209F5">
        <w:rPr>
          <w:rFonts w:ascii="Times New Roman" w:hAnsi="Times New Roman"/>
          <w:sz w:val="24"/>
          <w:szCs w:val="24"/>
        </w:rPr>
        <w:t xml:space="preserve">             </w:t>
      </w:r>
      <w:r w:rsidR="00B473EB" w:rsidRPr="00F209F5">
        <w:rPr>
          <w:rFonts w:ascii="Times New Roman" w:hAnsi="Times New Roman"/>
          <w:sz w:val="24"/>
          <w:szCs w:val="24"/>
        </w:rPr>
        <w:t>После става 1. додају се но</w:t>
      </w:r>
      <w:r w:rsidR="00647886" w:rsidRPr="00F209F5">
        <w:rPr>
          <w:rFonts w:ascii="Times New Roman" w:hAnsi="Times New Roman"/>
          <w:sz w:val="24"/>
          <w:szCs w:val="24"/>
          <w:lang w:val="sr-Cyrl-RS"/>
        </w:rPr>
        <w:t>в</w:t>
      </w:r>
      <w:r w:rsidR="00B473EB" w:rsidRPr="00F209F5">
        <w:rPr>
          <w:rFonts w:ascii="Times New Roman" w:hAnsi="Times New Roman"/>
          <w:sz w:val="24"/>
          <w:szCs w:val="24"/>
        </w:rPr>
        <w:t>и ст</w:t>
      </w:r>
      <w:r w:rsidR="00781C9E" w:rsidRPr="00F209F5">
        <w:rPr>
          <w:rFonts w:ascii="Times New Roman" w:hAnsi="Times New Roman"/>
          <w:sz w:val="24"/>
          <w:szCs w:val="24"/>
          <w:lang w:val="sr-Cyrl-CS"/>
        </w:rPr>
        <w:t>.</w:t>
      </w:r>
      <w:r w:rsidR="00B473EB" w:rsidRPr="00F209F5">
        <w:rPr>
          <w:rFonts w:ascii="Times New Roman" w:hAnsi="Times New Roman"/>
          <w:sz w:val="24"/>
          <w:szCs w:val="24"/>
        </w:rPr>
        <w:t xml:space="preserve"> 2</w:t>
      </w:r>
      <w:r w:rsidR="00647886" w:rsidRPr="00F209F5">
        <w:rPr>
          <w:rFonts w:ascii="Times New Roman" w:hAnsi="Times New Roman"/>
          <w:sz w:val="24"/>
          <w:szCs w:val="24"/>
          <w:lang w:val="sr-Cyrl-RS"/>
        </w:rPr>
        <w:t>. и 3</w:t>
      </w:r>
      <w:r w:rsidR="007D0194" w:rsidRPr="00F209F5">
        <w:rPr>
          <w:rFonts w:ascii="Times New Roman" w:hAnsi="Times New Roman"/>
          <w:sz w:val="24"/>
          <w:szCs w:val="24"/>
        </w:rPr>
        <w:t>.</w:t>
      </w:r>
      <w:r w:rsidR="00B473EB" w:rsidRPr="00F209F5">
        <w:rPr>
          <w:rFonts w:ascii="Times New Roman" w:hAnsi="Times New Roman"/>
          <w:sz w:val="24"/>
          <w:szCs w:val="24"/>
        </w:rPr>
        <w:t xml:space="preserve"> који глас</w:t>
      </w:r>
      <w:r w:rsidR="00647886" w:rsidRPr="00F209F5">
        <w:rPr>
          <w:rFonts w:ascii="Times New Roman" w:hAnsi="Times New Roman"/>
          <w:sz w:val="24"/>
          <w:szCs w:val="24"/>
          <w:lang w:val="sr-Cyrl-RS"/>
        </w:rPr>
        <w:t>е</w:t>
      </w:r>
      <w:r w:rsidR="00B473EB" w:rsidRPr="00F209F5">
        <w:rPr>
          <w:rFonts w:ascii="Times New Roman" w:hAnsi="Times New Roman"/>
          <w:sz w:val="24"/>
          <w:szCs w:val="24"/>
        </w:rPr>
        <w:t>:</w:t>
      </w:r>
    </w:p>
    <w:p w:rsidR="00647886" w:rsidRPr="00F209F5" w:rsidRDefault="00E91853" w:rsidP="000355F6">
      <w:pPr>
        <w:autoSpaceDE w:val="0"/>
        <w:autoSpaceDN w:val="0"/>
        <w:adjustRightInd w:val="0"/>
        <w:spacing w:after="0" w:line="240" w:lineRule="auto"/>
        <w:jc w:val="both"/>
        <w:rPr>
          <w:rFonts w:ascii="Times New Roman" w:hAnsi="Times New Roman"/>
          <w:sz w:val="24"/>
          <w:szCs w:val="24"/>
          <w:lang w:val="sr-Cyrl-RS"/>
        </w:rPr>
      </w:pPr>
      <w:r w:rsidRPr="00F209F5">
        <w:rPr>
          <w:rFonts w:ascii="Times New Roman" w:hAnsi="Times New Roman"/>
          <w:sz w:val="24"/>
          <w:szCs w:val="24"/>
          <w:lang w:val="sr-Cyrl-RS"/>
        </w:rPr>
        <w:tab/>
        <w:t xml:space="preserve">„ </w:t>
      </w:r>
      <w:r w:rsidRPr="00F209F5">
        <w:rPr>
          <w:rFonts w:ascii="Times New Roman" w:hAnsi="Times New Roman"/>
          <w:sz w:val="24"/>
          <w:szCs w:val="24"/>
        </w:rPr>
        <w:t>Оснивач Института је Република Србија, за коју оснивачка права врши Влада, у складу са законом</w:t>
      </w:r>
      <w:r w:rsidR="00C10357" w:rsidRPr="00F209F5">
        <w:rPr>
          <w:rFonts w:ascii="Times New Roman" w:hAnsi="Times New Roman"/>
          <w:sz w:val="24"/>
          <w:szCs w:val="24"/>
          <w:lang w:val="sr-Cyrl-RS"/>
        </w:rPr>
        <w:t>.</w:t>
      </w:r>
    </w:p>
    <w:p w:rsidR="003F0A92" w:rsidRPr="00F209F5" w:rsidRDefault="000B316B" w:rsidP="000355F6">
      <w:pPr>
        <w:autoSpaceDE w:val="0"/>
        <w:autoSpaceDN w:val="0"/>
        <w:adjustRightInd w:val="0"/>
        <w:spacing w:after="0" w:line="240" w:lineRule="auto"/>
        <w:ind w:firstLine="720"/>
        <w:jc w:val="both"/>
        <w:rPr>
          <w:rFonts w:ascii="Times New Roman" w:hAnsi="Times New Roman"/>
          <w:sz w:val="24"/>
          <w:szCs w:val="24"/>
          <w:lang w:val="sr-Cyrl-RS"/>
        </w:rPr>
      </w:pPr>
      <w:r w:rsidRPr="00F209F5">
        <w:rPr>
          <w:rFonts w:ascii="Times New Roman" w:hAnsi="Times New Roman"/>
          <w:sz w:val="24"/>
          <w:szCs w:val="24"/>
        </w:rPr>
        <w:t xml:space="preserve">  </w:t>
      </w:r>
      <w:r w:rsidR="00647886" w:rsidRPr="00F209F5">
        <w:rPr>
          <w:rFonts w:ascii="Times New Roman" w:hAnsi="Times New Roman"/>
          <w:sz w:val="24"/>
          <w:szCs w:val="24"/>
        </w:rPr>
        <w:t>Министарство надлежно за послове стандардизациј</w:t>
      </w:r>
      <w:r w:rsidR="00647886" w:rsidRPr="00F209F5">
        <w:rPr>
          <w:rFonts w:ascii="Times New Roman" w:hAnsi="Times New Roman"/>
          <w:sz w:val="24"/>
          <w:szCs w:val="24"/>
          <w:lang w:val="sr-Cyrl-RS"/>
        </w:rPr>
        <w:t>е</w:t>
      </w:r>
      <w:r w:rsidR="00EF2586" w:rsidRPr="00F209F5">
        <w:rPr>
          <w:rFonts w:ascii="Times New Roman" w:hAnsi="Times New Roman"/>
          <w:sz w:val="24"/>
          <w:szCs w:val="24"/>
          <w:lang w:val="sr-Cyrl-RS"/>
        </w:rPr>
        <w:t xml:space="preserve"> информише </w:t>
      </w:r>
      <w:r w:rsidR="003F0A92" w:rsidRPr="00F209F5">
        <w:rPr>
          <w:rFonts w:ascii="Times New Roman" w:hAnsi="Times New Roman"/>
          <w:sz w:val="24"/>
          <w:szCs w:val="24"/>
          <w:lang w:val="sr-Cyrl-RS"/>
        </w:rPr>
        <w:t>међународн</w:t>
      </w:r>
      <w:r w:rsidR="00EF2586" w:rsidRPr="00F209F5">
        <w:rPr>
          <w:rFonts w:ascii="Times New Roman" w:hAnsi="Times New Roman"/>
          <w:sz w:val="24"/>
          <w:szCs w:val="24"/>
          <w:lang w:val="sr-Cyrl-RS"/>
        </w:rPr>
        <w:t>е</w:t>
      </w:r>
      <w:r w:rsidR="003F0A92" w:rsidRPr="00F209F5">
        <w:rPr>
          <w:rFonts w:ascii="Times New Roman" w:hAnsi="Times New Roman"/>
          <w:sz w:val="24"/>
          <w:szCs w:val="24"/>
          <w:lang w:val="sr-Cyrl-RS"/>
        </w:rPr>
        <w:t xml:space="preserve"> и друг</w:t>
      </w:r>
      <w:r w:rsidR="00EF2586" w:rsidRPr="00F209F5">
        <w:rPr>
          <w:rFonts w:ascii="Times New Roman" w:hAnsi="Times New Roman"/>
          <w:sz w:val="24"/>
          <w:szCs w:val="24"/>
          <w:lang w:val="sr-Cyrl-RS"/>
        </w:rPr>
        <w:t>е</w:t>
      </w:r>
      <w:r w:rsidR="003F0A92" w:rsidRPr="00F209F5">
        <w:rPr>
          <w:rFonts w:ascii="Times New Roman" w:hAnsi="Times New Roman"/>
          <w:sz w:val="24"/>
          <w:szCs w:val="24"/>
          <w:lang w:val="sr-Cyrl-RS"/>
        </w:rPr>
        <w:t xml:space="preserve"> организациј</w:t>
      </w:r>
      <w:r w:rsidR="00EF2586" w:rsidRPr="00F209F5">
        <w:rPr>
          <w:rFonts w:ascii="Times New Roman" w:hAnsi="Times New Roman"/>
          <w:sz w:val="24"/>
          <w:szCs w:val="24"/>
          <w:lang w:val="sr-Cyrl-RS"/>
        </w:rPr>
        <w:t xml:space="preserve">е </w:t>
      </w:r>
      <w:r w:rsidR="003F0A92" w:rsidRPr="00F209F5">
        <w:rPr>
          <w:rFonts w:ascii="Times New Roman" w:hAnsi="Times New Roman"/>
          <w:sz w:val="24"/>
          <w:szCs w:val="24"/>
          <w:lang w:val="sr-Cyrl-RS"/>
        </w:rPr>
        <w:t>о националном телу за стандардизацију у Републици Србији, у складу са прописом</w:t>
      </w:r>
      <w:r w:rsidR="00EF2586" w:rsidRPr="00F209F5">
        <w:rPr>
          <w:rFonts w:ascii="Times New Roman" w:hAnsi="Times New Roman"/>
          <w:sz w:val="24"/>
          <w:szCs w:val="24"/>
          <w:lang w:val="sr-Cyrl-RS"/>
        </w:rPr>
        <w:t xml:space="preserve"> којим се уређује поступак пријављивања и начин информисања о техничким прописима и стандардима</w:t>
      </w:r>
      <w:r w:rsidR="003F0A92" w:rsidRPr="00F209F5">
        <w:rPr>
          <w:rFonts w:ascii="Times New Roman" w:hAnsi="Times New Roman"/>
          <w:sz w:val="24"/>
          <w:szCs w:val="24"/>
          <w:lang w:val="sr-Cyrl-RS"/>
        </w:rPr>
        <w:t>.”</w:t>
      </w:r>
    </w:p>
    <w:p w:rsidR="00C10357" w:rsidRPr="00F209F5" w:rsidRDefault="000B316B" w:rsidP="000355F6">
      <w:pPr>
        <w:autoSpaceDE w:val="0"/>
        <w:autoSpaceDN w:val="0"/>
        <w:adjustRightInd w:val="0"/>
        <w:spacing w:after="0" w:line="240" w:lineRule="auto"/>
        <w:ind w:firstLine="720"/>
        <w:jc w:val="both"/>
        <w:rPr>
          <w:rFonts w:ascii="Times New Roman" w:hAnsi="Times New Roman"/>
          <w:sz w:val="24"/>
          <w:szCs w:val="24"/>
          <w:lang w:val="sr-Cyrl-RS"/>
        </w:rPr>
      </w:pPr>
      <w:r w:rsidRPr="00F209F5">
        <w:rPr>
          <w:rFonts w:ascii="Times New Roman" w:hAnsi="Times New Roman"/>
          <w:sz w:val="24"/>
          <w:szCs w:val="24"/>
          <w:lang w:val="sr-Cyrl-RS"/>
        </w:rPr>
        <w:t xml:space="preserve"> </w:t>
      </w:r>
      <w:r w:rsidR="00C10357" w:rsidRPr="00F209F5">
        <w:rPr>
          <w:rFonts w:ascii="Times New Roman" w:hAnsi="Times New Roman"/>
          <w:sz w:val="24"/>
          <w:szCs w:val="24"/>
          <w:lang w:val="sr-Cyrl-RS"/>
        </w:rPr>
        <w:t>Досадаш</w:t>
      </w:r>
      <w:r w:rsidR="0011430D" w:rsidRPr="00F209F5">
        <w:rPr>
          <w:rFonts w:ascii="Times New Roman" w:hAnsi="Times New Roman"/>
          <w:sz w:val="24"/>
          <w:szCs w:val="24"/>
          <w:lang w:val="sr-Cyrl-RS"/>
        </w:rPr>
        <w:t>њи</w:t>
      </w:r>
      <w:r w:rsidR="00C10357" w:rsidRPr="00F209F5">
        <w:rPr>
          <w:rFonts w:ascii="Times New Roman" w:hAnsi="Times New Roman"/>
          <w:sz w:val="24"/>
          <w:szCs w:val="24"/>
          <w:lang w:val="sr-Cyrl-RS"/>
        </w:rPr>
        <w:t xml:space="preserve"> ст. 2. 3. и 4. постају ст.</w:t>
      </w:r>
      <w:r w:rsidR="003F0A92" w:rsidRPr="00F209F5">
        <w:rPr>
          <w:rFonts w:ascii="Times New Roman" w:hAnsi="Times New Roman"/>
          <w:sz w:val="24"/>
          <w:szCs w:val="24"/>
          <w:lang w:val="sr-Cyrl-RS"/>
        </w:rPr>
        <w:t xml:space="preserve"> 4, 5. и 6</w:t>
      </w:r>
      <w:r w:rsidR="00C10357" w:rsidRPr="00F209F5">
        <w:rPr>
          <w:rFonts w:ascii="Times New Roman" w:hAnsi="Times New Roman"/>
          <w:sz w:val="24"/>
          <w:szCs w:val="24"/>
          <w:lang w:val="sr-Cyrl-RS"/>
        </w:rPr>
        <w:t>.</w:t>
      </w:r>
    </w:p>
    <w:p w:rsidR="00B473EB" w:rsidRPr="00F209F5" w:rsidRDefault="00EF2586" w:rsidP="000355F6">
      <w:pPr>
        <w:autoSpaceDE w:val="0"/>
        <w:autoSpaceDN w:val="0"/>
        <w:adjustRightInd w:val="0"/>
        <w:spacing w:after="0" w:line="240" w:lineRule="auto"/>
        <w:ind w:firstLine="720"/>
        <w:jc w:val="both"/>
        <w:rPr>
          <w:rFonts w:ascii="Times New Roman" w:hAnsi="Times New Roman"/>
          <w:sz w:val="24"/>
          <w:szCs w:val="24"/>
        </w:rPr>
      </w:pPr>
      <w:r w:rsidRPr="00F209F5">
        <w:rPr>
          <w:rFonts w:ascii="Times New Roman" w:hAnsi="Times New Roman"/>
          <w:sz w:val="24"/>
          <w:szCs w:val="24"/>
          <w:lang w:val="sr-Cyrl-RS"/>
        </w:rPr>
        <w:t xml:space="preserve"> </w:t>
      </w:r>
      <w:r w:rsidR="00032F93" w:rsidRPr="00F209F5">
        <w:rPr>
          <w:rFonts w:ascii="Times New Roman" w:hAnsi="Times New Roman"/>
          <w:sz w:val="24"/>
          <w:szCs w:val="24"/>
        </w:rPr>
        <w:t xml:space="preserve">                 </w:t>
      </w:r>
    </w:p>
    <w:p w:rsidR="000355F6" w:rsidRPr="00980805" w:rsidRDefault="006F63BD" w:rsidP="000355F6">
      <w:pPr>
        <w:autoSpaceDE w:val="0"/>
        <w:autoSpaceDN w:val="0"/>
        <w:adjustRightInd w:val="0"/>
        <w:spacing w:after="0" w:line="240" w:lineRule="auto"/>
        <w:jc w:val="center"/>
        <w:rPr>
          <w:rFonts w:ascii="Times New Roman" w:hAnsi="Times New Roman"/>
          <w:sz w:val="24"/>
          <w:szCs w:val="24"/>
        </w:rPr>
      </w:pPr>
      <w:r w:rsidRPr="0053480A">
        <w:rPr>
          <w:rFonts w:ascii="Times New Roman" w:hAnsi="Times New Roman"/>
          <w:sz w:val="24"/>
          <w:szCs w:val="24"/>
        </w:rPr>
        <w:t>Члан</w:t>
      </w:r>
      <w:r w:rsidRPr="0053480A">
        <w:rPr>
          <w:rFonts w:ascii="Times New Roman" w:hAnsi="Times New Roman"/>
          <w:sz w:val="24"/>
          <w:szCs w:val="24"/>
          <w:lang w:val="sr-Cyrl-CS"/>
        </w:rPr>
        <w:t xml:space="preserve"> 5</w:t>
      </w:r>
      <w:r w:rsidR="00980805">
        <w:rPr>
          <w:rFonts w:ascii="Times New Roman" w:hAnsi="Times New Roman"/>
          <w:sz w:val="24"/>
          <w:szCs w:val="24"/>
        </w:rPr>
        <w:t>.</w:t>
      </w:r>
    </w:p>
    <w:p w:rsidR="00B473EB" w:rsidRPr="00F209F5" w:rsidRDefault="00032F93" w:rsidP="000355F6">
      <w:pPr>
        <w:autoSpaceDE w:val="0"/>
        <w:autoSpaceDN w:val="0"/>
        <w:adjustRightInd w:val="0"/>
        <w:spacing w:after="0" w:line="240" w:lineRule="auto"/>
        <w:rPr>
          <w:rFonts w:ascii="Times New Roman" w:hAnsi="Times New Roman"/>
          <w:sz w:val="24"/>
          <w:szCs w:val="24"/>
        </w:rPr>
      </w:pPr>
      <w:r w:rsidRPr="00F209F5">
        <w:rPr>
          <w:rFonts w:ascii="Times New Roman" w:hAnsi="Times New Roman"/>
          <w:sz w:val="24"/>
          <w:szCs w:val="24"/>
        </w:rPr>
        <w:t xml:space="preserve">             </w:t>
      </w:r>
      <w:r w:rsidR="00B473EB" w:rsidRPr="00F209F5">
        <w:rPr>
          <w:rFonts w:ascii="Times New Roman" w:hAnsi="Times New Roman"/>
          <w:sz w:val="24"/>
          <w:szCs w:val="24"/>
        </w:rPr>
        <w:t xml:space="preserve">У члану 7. </w:t>
      </w:r>
      <w:r w:rsidR="007D696C" w:rsidRPr="00F209F5">
        <w:rPr>
          <w:rFonts w:ascii="Times New Roman" w:hAnsi="Times New Roman"/>
          <w:sz w:val="24"/>
          <w:szCs w:val="24"/>
          <w:lang w:val="sr-Cyrl-CS"/>
        </w:rPr>
        <w:t xml:space="preserve">став 1. </w:t>
      </w:r>
      <w:r w:rsidR="00B473EB" w:rsidRPr="00F209F5">
        <w:rPr>
          <w:rFonts w:ascii="Times New Roman" w:hAnsi="Times New Roman"/>
          <w:sz w:val="24"/>
          <w:szCs w:val="24"/>
        </w:rPr>
        <w:t>после тачке 15) додају се тач. 1</w:t>
      </w:r>
      <w:r w:rsidR="00507079" w:rsidRPr="00F209F5">
        <w:rPr>
          <w:rFonts w:ascii="Times New Roman" w:hAnsi="Times New Roman"/>
          <w:sz w:val="24"/>
          <w:szCs w:val="24"/>
          <w:lang w:val="sr-Cyrl-RS"/>
        </w:rPr>
        <w:t>5</w:t>
      </w:r>
      <w:r w:rsidR="00624EC9" w:rsidRPr="00F209F5">
        <w:rPr>
          <w:rFonts w:ascii="Times New Roman" w:hAnsi="Times New Roman"/>
          <w:sz w:val="24"/>
          <w:szCs w:val="24"/>
          <w:lang w:val="sr-Cyrl-RS"/>
        </w:rPr>
        <w:t>а</w:t>
      </w:r>
      <w:r w:rsidR="00507079" w:rsidRPr="00F209F5">
        <w:rPr>
          <w:rFonts w:ascii="Times New Roman" w:hAnsi="Times New Roman"/>
          <w:sz w:val="24"/>
          <w:szCs w:val="24"/>
          <w:lang w:val="sr-Cyrl-CS"/>
        </w:rPr>
        <w:t>)</w:t>
      </w:r>
      <w:r w:rsidR="00624EC9" w:rsidRPr="00F209F5">
        <w:rPr>
          <w:rFonts w:ascii="Times New Roman" w:hAnsi="Times New Roman"/>
          <w:sz w:val="24"/>
          <w:szCs w:val="24"/>
          <w:lang w:val="sr-Cyrl-RS"/>
        </w:rPr>
        <w:t xml:space="preserve"> и</w:t>
      </w:r>
      <w:r w:rsidR="00507079" w:rsidRPr="00F209F5">
        <w:rPr>
          <w:rFonts w:ascii="Times New Roman" w:hAnsi="Times New Roman"/>
          <w:sz w:val="24"/>
          <w:szCs w:val="24"/>
          <w:lang w:val="sr-Cyrl-RS"/>
        </w:rPr>
        <w:t xml:space="preserve"> 15</w:t>
      </w:r>
      <w:r w:rsidR="00624EC9" w:rsidRPr="00F209F5">
        <w:rPr>
          <w:rFonts w:ascii="Times New Roman" w:hAnsi="Times New Roman"/>
          <w:sz w:val="24"/>
          <w:szCs w:val="24"/>
          <w:lang w:val="sr-Cyrl-RS"/>
        </w:rPr>
        <w:t>б</w:t>
      </w:r>
      <w:r w:rsidR="00507079" w:rsidRPr="00F209F5">
        <w:rPr>
          <w:rFonts w:ascii="Times New Roman" w:hAnsi="Times New Roman"/>
          <w:sz w:val="24"/>
          <w:szCs w:val="24"/>
          <w:lang w:val="sr-Cyrl-CS"/>
        </w:rPr>
        <w:t>)</w:t>
      </w:r>
      <w:r w:rsidR="00624EC9" w:rsidRPr="00F209F5">
        <w:rPr>
          <w:rFonts w:ascii="Times New Roman" w:hAnsi="Times New Roman"/>
          <w:sz w:val="24"/>
          <w:szCs w:val="24"/>
          <w:lang w:val="sr-Cyrl-RS"/>
        </w:rPr>
        <w:t xml:space="preserve">, </w:t>
      </w:r>
      <w:r w:rsidR="00B473EB" w:rsidRPr="00F209F5">
        <w:rPr>
          <w:rFonts w:ascii="Times New Roman" w:hAnsi="Times New Roman"/>
          <w:sz w:val="24"/>
          <w:szCs w:val="24"/>
        </w:rPr>
        <w:t>које гласе:</w:t>
      </w:r>
    </w:p>
    <w:p w:rsidR="00B473EB" w:rsidRPr="00F209F5" w:rsidRDefault="00B473EB" w:rsidP="000355F6">
      <w:pPr>
        <w:autoSpaceDE w:val="0"/>
        <w:autoSpaceDN w:val="0"/>
        <w:adjustRightInd w:val="0"/>
        <w:spacing w:after="0" w:line="240" w:lineRule="auto"/>
        <w:ind w:firstLine="720"/>
        <w:jc w:val="both"/>
        <w:rPr>
          <w:rFonts w:ascii="Times New Roman" w:hAnsi="Times New Roman"/>
          <w:sz w:val="24"/>
          <w:szCs w:val="24"/>
        </w:rPr>
      </w:pPr>
      <w:r w:rsidRPr="00F209F5">
        <w:rPr>
          <w:rFonts w:ascii="Times New Roman" w:hAnsi="Times New Roman"/>
          <w:sz w:val="24"/>
          <w:szCs w:val="24"/>
        </w:rPr>
        <w:t>„1</w:t>
      </w:r>
      <w:r w:rsidR="00624EC9" w:rsidRPr="00F209F5">
        <w:rPr>
          <w:rFonts w:ascii="Times New Roman" w:hAnsi="Times New Roman"/>
          <w:sz w:val="24"/>
          <w:szCs w:val="24"/>
          <w:lang w:val="sr-Cyrl-RS"/>
        </w:rPr>
        <w:t>5а</w:t>
      </w:r>
      <w:r w:rsidR="006B207F">
        <w:rPr>
          <w:rFonts w:ascii="Times New Roman" w:hAnsi="Times New Roman"/>
          <w:sz w:val="24"/>
          <w:szCs w:val="24"/>
          <w:lang w:val="sr-Cyrl-RS"/>
        </w:rPr>
        <w:t>)</w:t>
      </w:r>
      <w:r w:rsidRPr="00F209F5">
        <w:rPr>
          <w:rFonts w:ascii="Times New Roman" w:hAnsi="Times New Roman"/>
          <w:sz w:val="24"/>
          <w:szCs w:val="24"/>
        </w:rPr>
        <w:t xml:space="preserve"> пружа стручну помоћ за примену односно испуњавање захтева српских</w:t>
      </w:r>
      <w:r w:rsidR="00032F93" w:rsidRPr="00F209F5">
        <w:rPr>
          <w:rFonts w:ascii="Times New Roman" w:hAnsi="Times New Roman"/>
          <w:sz w:val="24"/>
          <w:szCs w:val="24"/>
        </w:rPr>
        <w:t xml:space="preserve"> </w:t>
      </w:r>
      <w:r w:rsidRPr="00F209F5">
        <w:rPr>
          <w:rFonts w:ascii="Times New Roman" w:hAnsi="Times New Roman"/>
          <w:sz w:val="24"/>
          <w:szCs w:val="24"/>
        </w:rPr>
        <w:t>стандарда;</w:t>
      </w:r>
    </w:p>
    <w:p w:rsidR="00B473EB" w:rsidRPr="00317968" w:rsidRDefault="00032F93" w:rsidP="000355F6">
      <w:pPr>
        <w:autoSpaceDE w:val="0"/>
        <w:autoSpaceDN w:val="0"/>
        <w:adjustRightInd w:val="0"/>
        <w:spacing w:after="0" w:line="240" w:lineRule="auto"/>
        <w:jc w:val="both"/>
        <w:rPr>
          <w:rFonts w:ascii="Times New Roman" w:hAnsi="Times New Roman"/>
          <w:sz w:val="24"/>
          <w:szCs w:val="24"/>
          <w:lang w:val="sr-Cyrl-RS"/>
        </w:rPr>
      </w:pPr>
      <w:r w:rsidRPr="00F209F5">
        <w:rPr>
          <w:rFonts w:ascii="Times New Roman" w:hAnsi="Times New Roman"/>
          <w:sz w:val="24"/>
          <w:szCs w:val="24"/>
        </w:rPr>
        <w:t xml:space="preserve">  </w:t>
      </w:r>
      <w:r w:rsidR="005B4624" w:rsidRPr="00F209F5">
        <w:rPr>
          <w:rFonts w:ascii="Times New Roman" w:hAnsi="Times New Roman"/>
          <w:sz w:val="24"/>
          <w:szCs w:val="24"/>
          <w:lang w:val="sr-Cyrl-RS"/>
        </w:rPr>
        <w:tab/>
      </w:r>
      <w:r w:rsidR="00A50955">
        <w:rPr>
          <w:rFonts w:ascii="Times New Roman" w:hAnsi="Times New Roman"/>
          <w:sz w:val="24"/>
          <w:szCs w:val="24"/>
          <w:lang w:val="sr-Cyrl-RS"/>
        </w:rPr>
        <w:t xml:space="preserve"> </w:t>
      </w:r>
      <w:r w:rsidR="00B473EB" w:rsidRPr="00F209F5">
        <w:rPr>
          <w:rFonts w:ascii="Times New Roman" w:hAnsi="Times New Roman"/>
          <w:sz w:val="24"/>
          <w:szCs w:val="24"/>
        </w:rPr>
        <w:t>1</w:t>
      </w:r>
      <w:r w:rsidR="00FA2668" w:rsidRPr="00F209F5">
        <w:rPr>
          <w:rFonts w:ascii="Times New Roman" w:hAnsi="Times New Roman"/>
          <w:sz w:val="24"/>
          <w:szCs w:val="24"/>
          <w:lang w:val="sr-Cyrl-RS"/>
        </w:rPr>
        <w:t>5б</w:t>
      </w:r>
      <w:r w:rsidR="006B207F">
        <w:rPr>
          <w:rFonts w:ascii="Times New Roman" w:hAnsi="Times New Roman"/>
          <w:sz w:val="24"/>
          <w:szCs w:val="24"/>
          <w:lang w:val="sr-Cyrl-RS"/>
        </w:rPr>
        <w:t>)</w:t>
      </w:r>
      <w:r w:rsidR="00B473EB" w:rsidRPr="00F209F5">
        <w:rPr>
          <w:rFonts w:ascii="Times New Roman" w:hAnsi="Times New Roman"/>
          <w:sz w:val="24"/>
          <w:szCs w:val="24"/>
        </w:rPr>
        <w:t xml:space="preserve"> </w:t>
      </w:r>
      <w:r w:rsidR="00B473EB" w:rsidRPr="000773AB">
        <w:rPr>
          <w:rFonts w:ascii="Times New Roman" w:hAnsi="Times New Roman"/>
          <w:sz w:val="24"/>
          <w:szCs w:val="24"/>
        </w:rPr>
        <w:t>послове</w:t>
      </w:r>
      <w:r w:rsidR="00B473EB" w:rsidRPr="00F209F5">
        <w:rPr>
          <w:rFonts w:ascii="Times New Roman" w:hAnsi="Times New Roman"/>
          <w:sz w:val="24"/>
          <w:szCs w:val="24"/>
        </w:rPr>
        <w:t xml:space="preserve"> сертификације</w:t>
      </w:r>
      <w:r w:rsidR="00FA2668" w:rsidRPr="00F209F5">
        <w:rPr>
          <w:rFonts w:ascii="Times New Roman" w:hAnsi="Times New Roman"/>
          <w:sz w:val="24"/>
          <w:szCs w:val="24"/>
          <w:lang w:val="sr-Cyrl-RS"/>
        </w:rPr>
        <w:t xml:space="preserve"> </w:t>
      </w:r>
      <w:r w:rsidR="00327782" w:rsidRPr="00F209F5">
        <w:rPr>
          <w:rFonts w:ascii="Times New Roman" w:hAnsi="Times New Roman"/>
          <w:sz w:val="24"/>
          <w:szCs w:val="24"/>
          <w:lang w:val="sr-Cyrl-CS"/>
        </w:rPr>
        <w:t>производа</w:t>
      </w:r>
      <w:r w:rsidR="00327782" w:rsidRPr="00F209F5">
        <w:rPr>
          <w:rFonts w:ascii="Times New Roman" w:hAnsi="Times New Roman"/>
          <w:sz w:val="24"/>
          <w:szCs w:val="24"/>
          <w:lang w:val="en-GB"/>
        </w:rPr>
        <w:t>,</w:t>
      </w:r>
      <w:r w:rsidR="00327782" w:rsidRPr="00F209F5">
        <w:rPr>
          <w:rFonts w:ascii="Times New Roman" w:hAnsi="Times New Roman"/>
          <w:sz w:val="24"/>
          <w:szCs w:val="24"/>
          <w:lang w:val="sr-Cyrl-CS"/>
        </w:rPr>
        <w:t xml:space="preserve"> система менаџмента</w:t>
      </w:r>
      <w:r w:rsidR="00327782" w:rsidRPr="00F209F5">
        <w:rPr>
          <w:rFonts w:ascii="Times New Roman" w:hAnsi="Times New Roman"/>
          <w:sz w:val="24"/>
          <w:szCs w:val="24"/>
          <w:lang w:val="en-GB"/>
        </w:rPr>
        <w:t xml:space="preserve"> </w:t>
      </w:r>
      <w:r w:rsidR="00327782" w:rsidRPr="00F209F5">
        <w:rPr>
          <w:rFonts w:ascii="Times New Roman" w:hAnsi="Times New Roman"/>
          <w:sz w:val="24"/>
          <w:szCs w:val="24"/>
          <w:lang w:val="sr-Cyrl-CS"/>
        </w:rPr>
        <w:t xml:space="preserve">и </w:t>
      </w:r>
      <w:r w:rsidR="005B4624" w:rsidRPr="00F209F5">
        <w:rPr>
          <w:rFonts w:ascii="Times New Roman" w:hAnsi="Times New Roman"/>
          <w:sz w:val="24"/>
          <w:szCs w:val="24"/>
          <w:lang w:val="sr-Cyrl-CS"/>
        </w:rPr>
        <w:t>особа</w:t>
      </w:r>
      <w:r w:rsidR="00B473EB" w:rsidRPr="00F209F5">
        <w:rPr>
          <w:rFonts w:ascii="Times New Roman" w:hAnsi="Times New Roman"/>
          <w:sz w:val="24"/>
          <w:szCs w:val="24"/>
        </w:rPr>
        <w:t>;”</w:t>
      </w:r>
      <w:r w:rsidR="00317968">
        <w:rPr>
          <w:rFonts w:ascii="Times New Roman" w:hAnsi="Times New Roman"/>
          <w:sz w:val="24"/>
          <w:szCs w:val="24"/>
          <w:lang w:val="sr-Cyrl-RS"/>
        </w:rPr>
        <w:t>.</w:t>
      </w:r>
    </w:p>
    <w:p w:rsidR="00B473EB" w:rsidRPr="00F209F5" w:rsidRDefault="000B316B" w:rsidP="00FA2668">
      <w:pPr>
        <w:tabs>
          <w:tab w:val="left" w:pos="709"/>
        </w:tabs>
        <w:autoSpaceDE w:val="0"/>
        <w:autoSpaceDN w:val="0"/>
        <w:adjustRightInd w:val="0"/>
        <w:spacing w:after="0" w:line="240" w:lineRule="auto"/>
        <w:rPr>
          <w:rFonts w:ascii="Times New Roman" w:hAnsi="Times New Roman"/>
          <w:sz w:val="24"/>
          <w:szCs w:val="24"/>
        </w:rPr>
      </w:pPr>
      <w:r w:rsidRPr="00F209F5">
        <w:rPr>
          <w:rFonts w:ascii="Times New Roman" w:hAnsi="Times New Roman"/>
          <w:sz w:val="24"/>
          <w:szCs w:val="24"/>
        </w:rPr>
        <w:t xml:space="preserve">            </w:t>
      </w:r>
      <w:r w:rsidR="00B473EB" w:rsidRPr="00F209F5">
        <w:rPr>
          <w:rFonts w:ascii="Times New Roman" w:hAnsi="Times New Roman"/>
          <w:sz w:val="24"/>
          <w:szCs w:val="24"/>
        </w:rPr>
        <w:t>У ставу 2. речи: „тач.1), 2), 4), 8), 13), 14) и 15)” замењују се речима: „тач.1), 2), 4), 8),</w:t>
      </w:r>
      <w:r w:rsidR="0099401E" w:rsidRPr="00F209F5">
        <w:rPr>
          <w:rFonts w:ascii="Times New Roman" w:hAnsi="Times New Roman"/>
          <w:sz w:val="24"/>
          <w:szCs w:val="24"/>
          <w:lang w:val="sr-Cyrl-RS"/>
        </w:rPr>
        <w:t xml:space="preserve"> </w:t>
      </w:r>
      <w:r w:rsidR="00B473EB" w:rsidRPr="00F209F5">
        <w:rPr>
          <w:rFonts w:ascii="Times New Roman" w:hAnsi="Times New Roman"/>
          <w:sz w:val="24"/>
          <w:szCs w:val="24"/>
        </w:rPr>
        <w:t>13), 14), 15) и 1</w:t>
      </w:r>
      <w:r w:rsidR="00D72622" w:rsidRPr="00F209F5">
        <w:rPr>
          <w:rFonts w:ascii="Times New Roman" w:hAnsi="Times New Roman"/>
          <w:sz w:val="24"/>
          <w:szCs w:val="24"/>
          <w:lang w:val="sr-Cyrl-RS"/>
        </w:rPr>
        <w:t>5а</w:t>
      </w:r>
      <w:r w:rsidR="006B207F">
        <w:rPr>
          <w:rFonts w:ascii="Times New Roman" w:hAnsi="Times New Roman"/>
          <w:sz w:val="24"/>
          <w:szCs w:val="24"/>
          <w:lang w:val="sr-Cyrl-RS"/>
        </w:rPr>
        <w:t>)</w:t>
      </w:r>
      <w:r w:rsidR="00B473EB" w:rsidRPr="00F209F5">
        <w:rPr>
          <w:rFonts w:ascii="Times New Roman" w:hAnsi="Times New Roman"/>
          <w:sz w:val="24"/>
          <w:szCs w:val="24"/>
        </w:rPr>
        <w:t>”.</w:t>
      </w:r>
    </w:p>
    <w:p w:rsidR="00B473EB" w:rsidRPr="00F209F5" w:rsidRDefault="000B316B" w:rsidP="000355F6">
      <w:pPr>
        <w:autoSpaceDE w:val="0"/>
        <w:autoSpaceDN w:val="0"/>
        <w:adjustRightInd w:val="0"/>
        <w:spacing w:after="0" w:line="240" w:lineRule="auto"/>
        <w:rPr>
          <w:rFonts w:ascii="Times New Roman" w:hAnsi="Times New Roman"/>
          <w:sz w:val="24"/>
          <w:szCs w:val="24"/>
        </w:rPr>
      </w:pPr>
      <w:r w:rsidRPr="00F209F5">
        <w:rPr>
          <w:rFonts w:ascii="Times New Roman" w:hAnsi="Times New Roman"/>
          <w:sz w:val="24"/>
          <w:szCs w:val="24"/>
        </w:rPr>
        <w:t xml:space="preserve">             </w:t>
      </w:r>
      <w:r w:rsidR="00B473EB" w:rsidRPr="00F209F5">
        <w:rPr>
          <w:rFonts w:ascii="Times New Roman" w:hAnsi="Times New Roman"/>
          <w:sz w:val="24"/>
          <w:szCs w:val="24"/>
        </w:rPr>
        <w:t>После става 2. додаје се нови став 3. који гласи:</w:t>
      </w:r>
    </w:p>
    <w:p w:rsidR="00B473EB" w:rsidRPr="00F209F5" w:rsidRDefault="000B316B" w:rsidP="000B316B">
      <w:pPr>
        <w:tabs>
          <w:tab w:val="left" w:pos="709"/>
          <w:tab w:val="left" w:pos="851"/>
        </w:tabs>
        <w:autoSpaceDE w:val="0"/>
        <w:autoSpaceDN w:val="0"/>
        <w:adjustRightInd w:val="0"/>
        <w:spacing w:after="0" w:line="240" w:lineRule="auto"/>
        <w:jc w:val="both"/>
        <w:rPr>
          <w:rFonts w:ascii="Times New Roman" w:hAnsi="Times New Roman"/>
          <w:sz w:val="24"/>
          <w:szCs w:val="24"/>
        </w:rPr>
      </w:pPr>
      <w:r w:rsidRPr="00F209F5">
        <w:rPr>
          <w:rFonts w:ascii="Times New Roman" w:hAnsi="Times New Roman"/>
          <w:sz w:val="24"/>
          <w:szCs w:val="24"/>
        </w:rPr>
        <w:t xml:space="preserve">            </w:t>
      </w:r>
      <w:r w:rsidR="00B473EB" w:rsidRPr="00F209F5">
        <w:rPr>
          <w:rFonts w:ascii="Times New Roman" w:hAnsi="Times New Roman"/>
          <w:sz w:val="24"/>
          <w:szCs w:val="24"/>
        </w:rPr>
        <w:t>„</w:t>
      </w:r>
      <w:r w:rsidR="005B4624" w:rsidRPr="00F209F5">
        <w:rPr>
          <w:rFonts w:ascii="Times New Roman" w:hAnsi="Times New Roman"/>
          <w:sz w:val="24"/>
          <w:szCs w:val="24"/>
          <w:lang w:val="sr-Cyrl-RS"/>
        </w:rPr>
        <w:t xml:space="preserve">Послове </w:t>
      </w:r>
      <w:r w:rsidR="00B473EB" w:rsidRPr="00F209F5">
        <w:rPr>
          <w:rFonts w:ascii="Times New Roman" w:hAnsi="Times New Roman"/>
          <w:sz w:val="24"/>
          <w:szCs w:val="24"/>
        </w:rPr>
        <w:t>из тач. 1</w:t>
      </w:r>
      <w:r w:rsidR="00900BBD" w:rsidRPr="00F209F5">
        <w:rPr>
          <w:rFonts w:ascii="Times New Roman" w:hAnsi="Times New Roman"/>
          <w:sz w:val="24"/>
          <w:szCs w:val="24"/>
          <w:lang w:val="sr-Cyrl-RS"/>
        </w:rPr>
        <w:t>5</w:t>
      </w:r>
      <w:r w:rsidR="00A52697">
        <w:rPr>
          <w:rFonts w:ascii="Times New Roman" w:hAnsi="Times New Roman"/>
          <w:sz w:val="24"/>
          <w:szCs w:val="24"/>
          <w:lang w:val="sr-Cyrl-CS"/>
        </w:rPr>
        <w:t>а</w:t>
      </w:r>
      <w:r w:rsidR="00B473EB" w:rsidRPr="00F209F5">
        <w:rPr>
          <w:rFonts w:ascii="Times New Roman" w:hAnsi="Times New Roman"/>
          <w:sz w:val="24"/>
          <w:szCs w:val="24"/>
        </w:rPr>
        <w:t>) и 1</w:t>
      </w:r>
      <w:r w:rsidR="00900BBD" w:rsidRPr="00F209F5">
        <w:rPr>
          <w:rFonts w:ascii="Times New Roman" w:hAnsi="Times New Roman"/>
          <w:sz w:val="24"/>
          <w:szCs w:val="24"/>
          <w:lang w:val="sr-Cyrl-RS"/>
        </w:rPr>
        <w:t>5</w:t>
      </w:r>
      <w:r w:rsidR="00A52697">
        <w:rPr>
          <w:rFonts w:ascii="Times New Roman" w:hAnsi="Times New Roman"/>
          <w:sz w:val="24"/>
          <w:szCs w:val="24"/>
          <w:lang w:val="sr-Cyrl-CS"/>
        </w:rPr>
        <w:t>б</w:t>
      </w:r>
      <w:r w:rsidR="00B473EB" w:rsidRPr="00F209F5">
        <w:rPr>
          <w:rFonts w:ascii="Times New Roman" w:hAnsi="Times New Roman"/>
          <w:sz w:val="24"/>
          <w:szCs w:val="24"/>
        </w:rPr>
        <w:t xml:space="preserve">) Институт не </w:t>
      </w:r>
      <w:r w:rsidR="00900BBD" w:rsidRPr="00F209F5">
        <w:rPr>
          <w:rFonts w:ascii="Times New Roman" w:hAnsi="Times New Roman"/>
          <w:sz w:val="24"/>
          <w:szCs w:val="24"/>
          <w:lang w:val="sr-Cyrl-RS"/>
        </w:rPr>
        <w:t xml:space="preserve">може да </w:t>
      </w:r>
      <w:r w:rsidR="00B473EB" w:rsidRPr="00F209F5">
        <w:rPr>
          <w:rFonts w:ascii="Times New Roman" w:hAnsi="Times New Roman"/>
          <w:sz w:val="24"/>
          <w:szCs w:val="24"/>
        </w:rPr>
        <w:t xml:space="preserve">обавља за потребе истог </w:t>
      </w:r>
      <w:r w:rsidR="005B4624" w:rsidRPr="00F209F5">
        <w:rPr>
          <w:rFonts w:ascii="Times New Roman" w:hAnsi="Times New Roman"/>
          <w:sz w:val="24"/>
          <w:szCs w:val="24"/>
          <w:lang w:val="sr-Cyrl-RS"/>
        </w:rPr>
        <w:t>правног субјекта</w:t>
      </w:r>
      <w:r w:rsidR="00B473EB" w:rsidRPr="00F209F5">
        <w:rPr>
          <w:rFonts w:ascii="Times New Roman" w:hAnsi="Times New Roman"/>
          <w:sz w:val="24"/>
          <w:szCs w:val="24"/>
        </w:rPr>
        <w:t>.”</w:t>
      </w:r>
    </w:p>
    <w:p w:rsidR="00B473EB" w:rsidRPr="00F209F5" w:rsidRDefault="000B316B" w:rsidP="009B3C95">
      <w:pPr>
        <w:tabs>
          <w:tab w:val="left" w:pos="709"/>
        </w:tabs>
        <w:autoSpaceDE w:val="0"/>
        <w:autoSpaceDN w:val="0"/>
        <w:adjustRightInd w:val="0"/>
        <w:spacing w:after="0" w:line="240" w:lineRule="auto"/>
        <w:rPr>
          <w:rFonts w:ascii="Times New Roman" w:hAnsi="Times New Roman"/>
          <w:sz w:val="24"/>
          <w:szCs w:val="24"/>
        </w:rPr>
      </w:pPr>
      <w:r w:rsidRPr="00F209F5">
        <w:rPr>
          <w:rFonts w:ascii="Times New Roman" w:hAnsi="Times New Roman"/>
          <w:sz w:val="24"/>
          <w:szCs w:val="24"/>
        </w:rPr>
        <w:t xml:space="preserve">            </w:t>
      </w:r>
      <w:r w:rsidR="00B473EB" w:rsidRPr="00F209F5">
        <w:rPr>
          <w:rFonts w:ascii="Times New Roman" w:hAnsi="Times New Roman"/>
          <w:sz w:val="24"/>
          <w:szCs w:val="24"/>
        </w:rPr>
        <w:t>Досадашњи ст. 3. и 4. постају ст. 4. и 5.</w:t>
      </w:r>
    </w:p>
    <w:p w:rsidR="00B473EB" w:rsidRPr="00F209F5" w:rsidRDefault="00B473EB" w:rsidP="000355F6">
      <w:pPr>
        <w:autoSpaceDE w:val="0"/>
        <w:autoSpaceDN w:val="0"/>
        <w:adjustRightInd w:val="0"/>
        <w:spacing w:after="0" w:line="240" w:lineRule="auto"/>
        <w:rPr>
          <w:rFonts w:ascii="Times New Roman" w:hAnsi="Times New Roman"/>
          <w:sz w:val="24"/>
          <w:szCs w:val="24"/>
          <w:lang w:val="sr-Cyrl-RS"/>
        </w:rPr>
      </w:pPr>
    </w:p>
    <w:p w:rsidR="00900BBD" w:rsidRPr="0053480A" w:rsidRDefault="00900BBD" w:rsidP="000355F6">
      <w:pPr>
        <w:autoSpaceDE w:val="0"/>
        <w:autoSpaceDN w:val="0"/>
        <w:adjustRightInd w:val="0"/>
        <w:spacing w:after="0" w:line="240" w:lineRule="auto"/>
        <w:rPr>
          <w:rFonts w:ascii="Times New Roman" w:hAnsi="Times New Roman"/>
          <w:sz w:val="24"/>
          <w:szCs w:val="24"/>
          <w:lang w:val="sr-Cyrl-RS"/>
        </w:rPr>
      </w:pPr>
    </w:p>
    <w:p w:rsidR="00B473EB" w:rsidRPr="0053480A" w:rsidRDefault="00B473EB" w:rsidP="000355F6">
      <w:pPr>
        <w:autoSpaceDE w:val="0"/>
        <w:autoSpaceDN w:val="0"/>
        <w:adjustRightInd w:val="0"/>
        <w:spacing w:after="0" w:line="240" w:lineRule="auto"/>
        <w:jc w:val="center"/>
        <w:rPr>
          <w:rFonts w:ascii="Times New Roman" w:hAnsi="Times New Roman"/>
          <w:sz w:val="24"/>
          <w:szCs w:val="24"/>
        </w:rPr>
      </w:pPr>
      <w:r w:rsidRPr="0053480A">
        <w:rPr>
          <w:rFonts w:ascii="Times New Roman" w:hAnsi="Times New Roman"/>
          <w:sz w:val="24"/>
          <w:szCs w:val="24"/>
        </w:rPr>
        <w:t xml:space="preserve">Члан </w:t>
      </w:r>
      <w:r w:rsidR="00C32CAD" w:rsidRPr="0053480A">
        <w:rPr>
          <w:rFonts w:ascii="Times New Roman" w:hAnsi="Times New Roman"/>
          <w:sz w:val="24"/>
          <w:szCs w:val="24"/>
          <w:lang w:val="sr-Cyrl-CS"/>
        </w:rPr>
        <w:t>6</w:t>
      </w:r>
      <w:r w:rsidRPr="0053480A">
        <w:rPr>
          <w:rFonts w:ascii="Times New Roman" w:hAnsi="Times New Roman"/>
          <w:sz w:val="24"/>
          <w:szCs w:val="24"/>
        </w:rPr>
        <w:t>.</w:t>
      </w:r>
    </w:p>
    <w:p w:rsidR="000355F6" w:rsidRPr="00F209F5" w:rsidRDefault="000355F6" w:rsidP="000355F6">
      <w:pPr>
        <w:autoSpaceDE w:val="0"/>
        <w:autoSpaceDN w:val="0"/>
        <w:adjustRightInd w:val="0"/>
        <w:spacing w:after="0" w:line="240" w:lineRule="auto"/>
        <w:jc w:val="center"/>
        <w:rPr>
          <w:rFonts w:ascii="Times New Roman" w:hAnsi="Times New Roman"/>
          <w:sz w:val="24"/>
          <w:szCs w:val="24"/>
        </w:rPr>
      </w:pPr>
    </w:p>
    <w:p w:rsidR="00B473EB" w:rsidRPr="00F209F5" w:rsidRDefault="000B316B" w:rsidP="009B3C95">
      <w:pPr>
        <w:tabs>
          <w:tab w:val="left" w:pos="709"/>
        </w:tabs>
        <w:autoSpaceDE w:val="0"/>
        <w:autoSpaceDN w:val="0"/>
        <w:adjustRightInd w:val="0"/>
        <w:spacing w:after="0" w:line="240" w:lineRule="auto"/>
        <w:rPr>
          <w:rFonts w:ascii="Times New Roman" w:hAnsi="Times New Roman"/>
          <w:sz w:val="24"/>
          <w:szCs w:val="24"/>
        </w:rPr>
      </w:pPr>
      <w:r w:rsidRPr="00F209F5">
        <w:rPr>
          <w:rFonts w:ascii="Times New Roman" w:hAnsi="Times New Roman"/>
          <w:sz w:val="24"/>
          <w:szCs w:val="24"/>
        </w:rPr>
        <w:t xml:space="preserve">            </w:t>
      </w:r>
      <w:r w:rsidR="00B473EB" w:rsidRPr="00F209F5">
        <w:rPr>
          <w:rFonts w:ascii="Times New Roman" w:hAnsi="Times New Roman"/>
          <w:sz w:val="24"/>
          <w:szCs w:val="24"/>
        </w:rPr>
        <w:t>У члану 8. став 4. мења се и гласи:</w:t>
      </w:r>
    </w:p>
    <w:p w:rsidR="00B473EB" w:rsidRPr="00317968" w:rsidRDefault="00032F93" w:rsidP="009B3C95">
      <w:pPr>
        <w:tabs>
          <w:tab w:val="left" w:pos="709"/>
        </w:tabs>
        <w:autoSpaceDE w:val="0"/>
        <w:autoSpaceDN w:val="0"/>
        <w:adjustRightInd w:val="0"/>
        <w:spacing w:after="0" w:line="240" w:lineRule="auto"/>
        <w:jc w:val="both"/>
        <w:rPr>
          <w:rFonts w:ascii="Times New Roman" w:hAnsi="Times New Roman"/>
          <w:sz w:val="24"/>
          <w:szCs w:val="24"/>
          <w:lang w:val="sr-Cyrl-RS"/>
        </w:rPr>
      </w:pPr>
      <w:r w:rsidRPr="00F209F5">
        <w:rPr>
          <w:rFonts w:ascii="Times New Roman" w:hAnsi="Times New Roman"/>
          <w:sz w:val="24"/>
          <w:szCs w:val="24"/>
        </w:rPr>
        <w:t xml:space="preserve">            </w:t>
      </w:r>
      <w:r w:rsidR="00B473EB" w:rsidRPr="00F209F5">
        <w:rPr>
          <w:rFonts w:ascii="Times New Roman" w:hAnsi="Times New Roman"/>
          <w:sz w:val="24"/>
          <w:szCs w:val="24"/>
        </w:rPr>
        <w:t>„Члан Института има право на посебан попуст код куповине стандарда, сродних</w:t>
      </w:r>
      <w:r w:rsidRPr="00F209F5">
        <w:rPr>
          <w:rFonts w:ascii="Times New Roman" w:hAnsi="Times New Roman"/>
          <w:sz w:val="24"/>
          <w:szCs w:val="24"/>
        </w:rPr>
        <w:t xml:space="preserve"> </w:t>
      </w:r>
      <w:r w:rsidR="00B473EB" w:rsidRPr="00F209F5">
        <w:rPr>
          <w:rFonts w:ascii="Times New Roman" w:hAnsi="Times New Roman"/>
          <w:sz w:val="24"/>
          <w:szCs w:val="24"/>
        </w:rPr>
        <w:t>докумената и других публикација и плаћања за услуге које</w:t>
      </w:r>
      <w:r w:rsidRPr="00F209F5">
        <w:rPr>
          <w:rFonts w:ascii="Times New Roman" w:hAnsi="Times New Roman"/>
          <w:sz w:val="24"/>
          <w:szCs w:val="24"/>
        </w:rPr>
        <w:t xml:space="preserve"> </w:t>
      </w:r>
      <w:r w:rsidR="00B473EB" w:rsidRPr="00F209F5">
        <w:rPr>
          <w:rFonts w:ascii="Times New Roman" w:hAnsi="Times New Roman"/>
          <w:sz w:val="24"/>
          <w:szCs w:val="24"/>
        </w:rPr>
        <w:t>Институт пружа у обављању послова стандардизације, као и на друге погодности у складу са</w:t>
      </w:r>
      <w:r w:rsidRPr="00F209F5">
        <w:rPr>
          <w:rFonts w:ascii="Times New Roman" w:hAnsi="Times New Roman"/>
          <w:sz w:val="24"/>
          <w:szCs w:val="24"/>
        </w:rPr>
        <w:t xml:space="preserve"> </w:t>
      </w:r>
      <w:r w:rsidR="00B473EB" w:rsidRPr="00F209F5">
        <w:rPr>
          <w:rFonts w:ascii="Times New Roman" w:hAnsi="Times New Roman"/>
          <w:sz w:val="24"/>
          <w:szCs w:val="24"/>
        </w:rPr>
        <w:t xml:space="preserve">одлуком о оснивању </w:t>
      </w:r>
      <w:r w:rsidR="00317968">
        <w:rPr>
          <w:rFonts w:ascii="Times New Roman" w:hAnsi="Times New Roman"/>
          <w:sz w:val="24"/>
          <w:szCs w:val="24"/>
          <w:lang w:val="sr-Cyrl-RS"/>
        </w:rPr>
        <w:t>.”</w:t>
      </w:r>
    </w:p>
    <w:p w:rsidR="000355F6" w:rsidRPr="00F209F5" w:rsidRDefault="000355F6" w:rsidP="000355F6">
      <w:pPr>
        <w:autoSpaceDE w:val="0"/>
        <w:autoSpaceDN w:val="0"/>
        <w:adjustRightInd w:val="0"/>
        <w:spacing w:after="0" w:line="240" w:lineRule="auto"/>
        <w:jc w:val="both"/>
        <w:rPr>
          <w:rFonts w:ascii="Times New Roman" w:hAnsi="Times New Roman"/>
          <w:sz w:val="24"/>
          <w:szCs w:val="24"/>
        </w:rPr>
      </w:pPr>
    </w:p>
    <w:p w:rsidR="00B473EB" w:rsidRPr="0053480A" w:rsidRDefault="00B473EB" w:rsidP="000355F6">
      <w:pPr>
        <w:autoSpaceDE w:val="0"/>
        <w:autoSpaceDN w:val="0"/>
        <w:adjustRightInd w:val="0"/>
        <w:spacing w:after="0" w:line="240" w:lineRule="auto"/>
        <w:jc w:val="center"/>
        <w:rPr>
          <w:rFonts w:ascii="Times New Roman" w:hAnsi="Times New Roman"/>
          <w:sz w:val="24"/>
          <w:szCs w:val="24"/>
        </w:rPr>
      </w:pPr>
      <w:r w:rsidRPr="0053480A">
        <w:rPr>
          <w:rFonts w:ascii="Times New Roman" w:hAnsi="Times New Roman"/>
          <w:sz w:val="24"/>
          <w:szCs w:val="24"/>
        </w:rPr>
        <w:t xml:space="preserve">Члан </w:t>
      </w:r>
      <w:r w:rsidR="00562FAB" w:rsidRPr="0053480A">
        <w:rPr>
          <w:rFonts w:ascii="Times New Roman" w:hAnsi="Times New Roman"/>
          <w:sz w:val="24"/>
          <w:szCs w:val="24"/>
        </w:rPr>
        <w:t>7</w:t>
      </w:r>
      <w:r w:rsidRPr="0053480A">
        <w:rPr>
          <w:rFonts w:ascii="Times New Roman" w:hAnsi="Times New Roman"/>
          <w:sz w:val="24"/>
          <w:szCs w:val="24"/>
        </w:rPr>
        <w:t>.</w:t>
      </w:r>
    </w:p>
    <w:p w:rsidR="00032F93" w:rsidRPr="00F209F5" w:rsidRDefault="00032F93" w:rsidP="000355F6">
      <w:pPr>
        <w:autoSpaceDE w:val="0"/>
        <w:autoSpaceDN w:val="0"/>
        <w:adjustRightInd w:val="0"/>
        <w:spacing w:after="0" w:line="240" w:lineRule="auto"/>
        <w:jc w:val="center"/>
        <w:rPr>
          <w:rFonts w:ascii="Times New Roman" w:hAnsi="Times New Roman"/>
          <w:sz w:val="24"/>
          <w:szCs w:val="24"/>
        </w:rPr>
      </w:pPr>
    </w:p>
    <w:p w:rsidR="00B473EB" w:rsidRPr="00F209F5" w:rsidRDefault="000B316B" w:rsidP="000B316B">
      <w:pPr>
        <w:tabs>
          <w:tab w:val="left" w:pos="851"/>
        </w:tabs>
        <w:autoSpaceDE w:val="0"/>
        <w:autoSpaceDN w:val="0"/>
        <w:adjustRightInd w:val="0"/>
        <w:spacing w:after="0" w:line="240" w:lineRule="auto"/>
        <w:jc w:val="both"/>
        <w:rPr>
          <w:rFonts w:ascii="Times New Roman" w:hAnsi="Times New Roman"/>
          <w:sz w:val="24"/>
          <w:szCs w:val="24"/>
        </w:rPr>
      </w:pPr>
      <w:r w:rsidRPr="00F209F5">
        <w:rPr>
          <w:rFonts w:ascii="Times New Roman" w:hAnsi="Times New Roman"/>
          <w:sz w:val="24"/>
          <w:szCs w:val="24"/>
        </w:rPr>
        <w:t xml:space="preserve">            </w:t>
      </w:r>
      <w:r w:rsidR="00B473EB" w:rsidRPr="00F209F5">
        <w:rPr>
          <w:rFonts w:ascii="Times New Roman" w:hAnsi="Times New Roman"/>
          <w:sz w:val="24"/>
          <w:szCs w:val="24"/>
        </w:rPr>
        <w:t>У члану 9. став 1. речи: „Института обезбеђују се” замењују се речима: „Институт</w:t>
      </w:r>
      <w:r w:rsidR="00032F93" w:rsidRPr="00F209F5">
        <w:rPr>
          <w:rFonts w:ascii="Times New Roman" w:hAnsi="Times New Roman"/>
          <w:sz w:val="24"/>
          <w:szCs w:val="24"/>
        </w:rPr>
        <w:t xml:space="preserve"> </w:t>
      </w:r>
      <w:r w:rsidR="00B473EB" w:rsidRPr="00F209F5">
        <w:rPr>
          <w:rFonts w:ascii="Times New Roman" w:hAnsi="Times New Roman"/>
          <w:sz w:val="24"/>
          <w:szCs w:val="24"/>
        </w:rPr>
        <w:t>обезбеђује</w:t>
      </w:r>
      <w:r w:rsidR="006B207F">
        <w:rPr>
          <w:rFonts w:ascii="Times New Roman" w:hAnsi="Times New Roman"/>
          <w:sz w:val="24"/>
          <w:szCs w:val="24"/>
        </w:rPr>
        <w:t>”</w:t>
      </w:r>
      <w:r w:rsidR="00980805">
        <w:rPr>
          <w:rFonts w:ascii="Times New Roman" w:hAnsi="Times New Roman"/>
          <w:sz w:val="24"/>
          <w:szCs w:val="24"/>
        </w:rPr>
        <w:t>.</w:t>
      </w:r>
    </w:p>
    <w:p w:rsidR="00B473EB" w:rsidRPr="00F209F5" w:rsidRDefault="001735B5" w:rsidP="009B3C95">
      <w:pPr>
        <w:tabs>
          <w:tab w:val="left" w:pos="709"/>
        </w:tabs>
        <w:autoSpaceDE w:val="0"/>
        <w:autoSpaceDN w:val="0"/>
        <w:adjustRightInd w:val="0"/>
        <w:spacing w:after="0" w:line="240" w:lineRule="auto"/>
        <w:rPr>
          <w:rFonts w:ascii="Times New Roman" w:hAnsi="Times New Roman"/>
          <w:sz w:val="24"/>
          <w:szCs w:val="24"/>
        </w:rPr>
      </w:pPr>
      <w:r w:rsidRPr="00F209F5">
        <w:rPr>
          <w:rFonts w:ascii="Times New Roman" w:hAnsi="Times New Roman"/>
          <w:sz w:val="24"/>
          <w:szCs w:val="24"/>
        </w:rPr>
        <w:lastRenderedPageBreak/>
        <w:t xml:space="preserve">            </w:t>
      </w:r>
      <w:r w:rsidR="00317968">
        <w:rPr>
          <w:rFonts w:ascii="Times New Roman" w:hAnsi="Times New Roman"/>
          <w:sz w:val="24"/>
          <w:szCs w:val="24"/>
          <w:lang w:val="sr-Cyrl-RS"/>
        </w:rPr>
        <w:t>Т</w:t>
      </w:r>
      <w:r w:rsidR="00B473EB" w:rsidRPr="00F209F5">
        <w:rPr>
          <w:rFonts w:ascii="Times New Roman" w:hAnsi="Times New Roman"/>
          <w:sz w:val="24"/>
          <w:szCs w:val="24"/>
        </w:rPr>
        <w:t>ач</w:t>
      </w:r>
      <w:r w:rsidR="008F2D72">
        <w:rPr>
          <w:rFonts w:ascii="Times New Roman" w:hAnsi="Times New Roman"/>
          <w:sz w:val="24"/>
          <w:szCs w:val="24"/>
          <w:lang w:val="sr-Cyrl-RS"/>
        </w:rPr>
        <w:t>ка</w:t>
      </w:r>
      <w:r w:rsidR="00237AC5">
        <w:rPr>
          <w:rFonts w:ascii="Times New Roman" w:hAnsi="Times New Roman"/>
          <w:sz w:val="24"/>
          <w:szCs w:val="24"/>
          <w:lang w:val="sr-Cyrl-RS"/>
        </w:rPr>
        <w:t xml:space="preserve"> </w:t>
      </w:r>
      <w:r w:rsidR="00B473EB" w:rsidRPr="00F209F5">
        <w:rPr>
          <w:rFonts w:ascii="Times New Roman" w:hAnsi="Times New Roman"/>
          <w:sz w:val="24"/>
          <w:szCs w:val="24"/>
        </w:rPr>
        <w:t>1) мења се и глас</w:t>
      </w:r>
      <w:r w:rsidR="001804A4" w:rsidRPr="00F209F5">
        <w:rPr>
          <w:rFonts w:ascii="Times New Roman" w:hAnsi="Times New Roman"/>
          <w:sz w:val="24"/>
          <w:szCs w:val="24"/>
          <w:lang w:val="sr-Cyrl-RS"/>
        </w:rPr>
        <w:t>и</w:t>
      </w:r>
      <w:r w:rsidR="00B473EB" w:rsidRPr="00F209F5">
        <w:rPr>
          <w:rFonts w:ascii="Times New Roman" w:hAnsi="Times New Roman"/>
          <w:sz w:val="24"/>
          <w:szCs w:val="24"/>
        </w:rPr>
        <w:t>:</w:t>
      </w:r>
    </w:p>
    <w:p w:rsidR="00B473EB" w:rsidRPr="00F209F5" w:rsidRDefault="00317968" w:rsidP="000355F6">
      <w:pPr>
        <w:autoSpaceDE w:val="0"/>
        <w:autoSpaceDN w:val="0"/>
        <w:adjustRightInd w:val="0"/>
        <w:spacing w:after="0" w:line="240" w:lineRule="auto"/>
        <w:rPr>
          <w:rFonts w:ascii="Times New Roman" w:hAnsi="Times New Roman"/>
          <w:sz w:val="24"/>
          <w:szCs w:val="24"/>
          <w:lang w:val="sr-Cyrl-RS"/>
        </w:rPr>
      </w:pPr>
      <w:r>
        <w:rPr>
          <w:rFonts w:ascii="Times New Roman" w:hAnsi="Times New Roman"/>
          <w:sz w:val="24"/>
          <w:szCs w:val="24"/>
          <w:lang w:val="sr-Cyrl-RS"/>
        </w:rPr>
        <w:t xml:space="preserve">            </w:t>
      </w:r>
      <w:r w:rsidR="00B473EB" w:rsidRPr="00F209F5">
        <w:rPr>
          <w:rFonts w:ascii="Times New Roman" w:hAnsi="Times New Roman"/>
          <w:sz w:val="24"/>
          <w:szCs w:val="24"/>
        </w:rPr>
        <w:t>„1) из прихода које оствари наплатом чланарина;</w:t>
      </w:r>
      <w:r w:rsidR="001804A4" w:rsidRPr="00F209F5">
        <w:rPr>
          <w:rFonts w:ascii="Times New Roman" w:hAnsi="Times New Roman"/>
          <w:sz w:val="24"/>
          <w:szCs w:val="24"/>
          <w:lang w:val="sr-Cyrl-RS"/>
        </w:rPr>
        <w:t>”</w:t>
      </w:r>
    </w:p>
    <w:p w:rsidR="001804A4" w:rsidRPr="00F209F5" w:rsidRDefault="001804A4" w:rsidP="000355F6">
      <w:pPr>
        <w:autoSpaceDE w:val="0"/>
        <w:autoSpaceDN w:val="0"/>
        <w:adjustRightInd w:val="0"/>
        <w:spacing w:after="0" w:line="240" w:lineRule="auto"/>
        <w:rPr>
          <w:rFonts w:ascii="Times New Roman" w:hAnsi="Times New Roman"/>
          <w:sz w:val="24"/>
          <w:szCs w:val="24"/>
          <w:lang w:val="sr-Cyrl-RS"/>
        </w:rPr>
      </w:pPr>
      <w:r w:rsidRPr="00F209F5">
        <w:rPr>
          <w:rFonts w:ascii="Times New Roman" w:hAnsi="Times New Roman"/>
          <w:sz w:val="24"/>
          <w:szCs w:val="24"/>
          <w:lang w:val="sr-Cyrl-RS"/>
        </w:rPr>
        <w:tab/>
        <w:t xml:space="preserve">Тачка 3) мења </w:t>
      </w:r>
      <w:r w:rsidR="002747C2" w:rsidRPr="00F209F5">
        <w:rPr>
          <w:rFonts w:ascii="Times New Roman" w:hAnsi="Times New Roman"/>
          <w:sz w:val="24"/>
          <w:szCs w:val="24"/>
          <w:lang w:val="sr-Cyrl-RS"/>
        </w:rPr>
        <w:t>се и гласи:</w:t>
      </w:r>
    </w:p>
    <w:p w:rsidR="00B473EB" w:rsidRPr="006B207F" w:rsidRDefault="00317968" w:rsidP="000355F6">
      <w:pPr>
        <w:autoSpaceDE w:val="0"/>
        <w:autoSpaceDN w:val="0"/>
        <w:adjustRightInd w:val="0"/>
        <w:spacing w:after="0" w:line="240" w:lineRule="auto"/>
        <w:rPr>
          <w:rFonts w:ascii="Times New Roman" w:hAnsi="Times New Roman"/>
          <w:sz w:val="24"/>
          <w:szCs w:val="24"/>
          <w:lang w:val="sr-Cyrl-RS"/>
        </w:rPr>
      </w:pPr>
      <w:r>
        <w:rPr>
          <w:rFonts w:ascii="Times New Roman" w:hAnsi="Times New Roman"/>
          <w:sz w:val="24"/>
          <w:szCs w:val="24"/>
          <w:lang w:val="sr-Cyrl-RS"/>
        </w:rPr>
        <w:t xml:space="preserve">            </w:t>
      </w:r>
      <w:r w:rsidR="002747C2" w:rsidRPr="00F209F5">
        <w:rPr>
          <w:rFonts w:ascii="Times New Roman" w:hAnsi="Times New Roman"/>
          <w:sz w:val="24"/>
          <w:szCs w:val="24"/>
          <w:lang w:val="sr-Cyrl-RS"/>
        </w:rPr>
        <w:t>„</w:t>
      </w:r>
      <w:r w:rsidR="00B473EB" w:rsidRPr="00F209F5">
        <w:rPr>
          <w:rFonts w:ascii="Times New Roman" w:hAnsi="Times New Roman"/>
          <w:sz w:val="24"/>
          <w:szCs w:val="24"/>
        </w:rPr>
        <w:t xml:space="preserve">3) из прихода које </w:t>
      </w:r>
      <w:r w:rsidR="00F209F5">
        <w:rPr>
          <w:rFonts w:ascii="Times New Roman" w:hAnsi="Times New Roman"/>
          <w:sz w:val="24"/>
          <w:szCs w:val="24"/>
        </w:rPr>
        <w:t xml:space="preserve">оствари </w:t>
      </w:r>
      <w:r w:rsidR="00BB0F24">
        <w:rPr>
          <w:rFonts w:ascii="Times New Roman" w:hAnsi="Times New Roman"/>
          <w:sz w:val="24"/>
          <w:szCs w:val="24"/>
          <w:lang w:val="sr-Cyrl-CS"/>
        </w:rPr>
        <w:t>продајом</w:t>
      </w:r>
      <w:r w:rsidR="00F209F5">
        <w:rPr>
          <w:rFonts w:ascii="Times New Roman" w:hAnsi="Times New Roman"/>
          <w:sz w:val="24"/>
          <w:szCs w:val="24"/>
        </w:rPr>
        <w:t xml:space="preserve"> услуга;</w:t>
      </w:r>
      <w:r w:rsidR="006B207F" w:rsidRPr="00F209F5">
        <w:rPr>
          <w:rFonts w:ascii="Times New Roman" w:hAnsi="Times New Roman"/>
          <w:sz w:val="24"/>
          <w:szCs w:val="24"/>
          <w:lang w:val="sr-Cyrl-RS"/>
        </w:rPr>
        <w:t>”</w:t>
      </w:r>
    </w:p>
    <w:p w:rsidR="00F209F5" w:rsidRPr="00A56F70" w:rsidRDefault="00F209F5" w:rsidP="000355F6">
      <w:pPr>
        <w:autoSpaceDE w:val="0"/>
        <w:autoSpaceDN w:val="0"/>
        <w:adjustRightInd w:val="0"/>
        <w:spacing w:after="0" w:line="240" w:lineRule="auto"/>
        <w:rPr>
          <w:rFonts w:ascii="Times New Roman" w:hAnsi="Times New Roman"/>
          <w:sz w:val="24"/>
          <w:szCs w:val="24"/>
          <w:lang w:val="sr-Cyrl-CS"/>
        </w:rPr>
      </w:pPr>
      <w:r>
        <w:rPr>
          <w:rFonts w:ascii="Times New Roman" w:hAnsi="Times New Roman"/>
          <w:sz w:val="24"/>
          <w:szCs w:val="24"/>
          <w:lang w:val="sr-Cyrl-CS"/>
        </w:rPr>
        <w:tab/>
      </w:r>
      <w:r w:rsidR="00317968">
        <w:rPr>
          <w:rFonts w:ascii="Times New Roman" w:hAnsi="Times New Roman"/>
          <w:sz w:val="24"/>
          <w:szCs w:val="24"/>
          <w:lang w:val="sr-Cyrl-CS"/>
        </w:rPr>
        <w:t>С</w:t>
      </w:r>
      <w:r w:rsidRPr="00A56F70">
        <w:rPr>
          <w:rFonts w:ascii="Times New Roman" w:hAnsi="Times New Roman"/>
          <w:sz w:val="24"/>
          <w:szCs w:val="24"/>
          <w:lang w:val="sr-Cyrl-CS"/>
        </w:rPr>
        <w:t>тав 2. мења се и гласи:</w:t>
      </w:r>
    </w:p>
    <w:p w:rsidR="00F209F5" w:rsidRDefault="00F209F5" w:rsidP="000355F6">
      <w:pPr>
        <w:autoSpaceDE w:val="0"/>
        <w:autoSpaceDN w:val="0"/>
        <w:adjustRightInd w:val="0"/>
        <w:spacing w:after="0" w:line="240" w:lineRule="auto"/>
        <w:rPr>
          <w:rFonts w:ascii="Times New Roman" w:hAnsi="Times New Roman"/>
          <w:sz w:val="24"/>
          <w:szCs w:val="24"/>
          <w:lang w:val="sr-Cyrl-CS"/>
        </w:rPr>
      </w:pPr>
      <w:r w:rsidRPr="00A56F70">
        <w:rPr>
          <w:rFonts w:ascii="Times New Roman" w:hAnsi="Times New Roman"/>
          <w:sz w:val="24"/>
          <w:szCs w:val="24"/>
          <w:lang w:val="sr-Cyrl-CS"/>
        </w:rPr>
        <w:tab/>
        <w:t>„</w:t>
      </w:r>
      <w:r w:rsidRPr="00A56F70">
        <w:rPr>
          <w:rFonts w:ascii="Times New Roman" w:hAnsi="Times New Roman"/>
          <w:sz w:val="24"/>
          <w:szCs w:val="24"/>
        </w:rPr>
        <w:t xml:space="preserve">Потребна средства за рад </w:t>
      </w:r>
      <w:r w:rsidR="00C32CAD" w:rsidRPr="00A56F70">
        <w:rPr>
          <w:rFonts w:ascii="Times New Roman" w:hAnsi="Times New Roman"/>
          <w:sz w:val="24"/>
          <w:szCs w:val="24"/>
        </w:rPr>
        <w:t>Института</w:t>
      </w:r>
      <w:r w:rsidR="00C32CAD">
        <w:rPr>
          <w:rFonts w:ascii="Times New Roman" w:hAnsi="Times New Roman"/>
          <w:sz w:val="24"/>
          <w:szCs w:val="24"/>
          <w:lang w:val="sr-Cyrl-CS"/>
        </w:rPr>
        <w:t>,</w:t>
      </w:r>
      <w:r w:rsidR="00C32CAD" w:rsidRPr="00A56F70">
        <w:rPr>
          <w:rFonts w:ascii="Times New Roman" w:hAnsi="Times New Roman"/>
          <w:sz w:val="24"/>
          <w:szCs w:val="24"/>
        </w:rPr>
        <w:t xml:space="preserve"> </w:t>
      </w:r>
      <w:r w:rsidRPr="00A56F70">
        <w:rPr>
          <w:rFonts w:ascii="Times New Roman" w:hAnsi="Times New Roman"/>
          <w:sz w:val="24"/>
          <w:szCs w:val="24"/>
        </w:rPr>
        <w:t xml:space="preserve">утврђују се годишњим програмом рада </w:t>
      </w:r>
      <w:r w:rsidRPr="00A56F70">
        <w:rPr>
          <w:rFonts w:ascii="Times New Roman" w:hAnsi="Times New Roman"/>
          <w:sz w:val="24"/>
          <w:szCs w:val="24"/>
          <w:lang w:val="sr-Cyrl-CS"/>
        </w:rPr>
        <w:t>чији је саставни део финансијски пла</w:t>
      </w:r>
      <w:r w:rsidRPr="00237AC5">
        <w:rPr>
          <w:rFonts w:ascii="Times New Roman" w:hAnsi="Times New Roman"/>
          <w:sz w:val="24"/>
          <w:szCs w:val="24"/>
          <w:lang w:val="sr-Cyrl-CS"/>
        </w:rPr>
        <w:t>н</w:t>
      </w:r>
      <w:r w:rsidR="00322FAC" w:rsidRPr="00237AC5">
        <w:rPr>
          <w:rFonts w:ascii="Times New Roman" w:hAnsi="Times New Roman"/>
          <w:sz w:val="24"/>
          <w:szCs w:val="24"/>
          <w:lang w:val="sr-Cyrl-CS"/>
        </w:rPr>
        <w:t>.</w:t>
      </w:r>
      <w:r w:rsidRPr="00237AC5">
        <w:rPr>
          <w:rFonts w:ascii="Times New Roman" w:hAnsi="Times New Roman"/>
          <w:sz w:val="24"/>
          <w:szCs w:val="24"/>
        </w:rPr>
        <w:t>”</w:t>
      </w:r>
    </w:p>
    <w:p w:rsidR="00C32CAD" w:rsidRPr="00011218" w:rsidRDefault="00C32CAD" w:rsidP="00C32CAD">
      <w:pPr>
        <w:autoSpaceDE w:val="0"/>
        <w:autoSpaceDN w:val="0"/>
        <w:adjustRightInd w:val="0"/>
        <w:spacing w:after="0" w:line="240" w:lineRule="auto"/>
        <w:rPr>
          <w:rFonts w:ascii="Times New Roman" w:hAnsi="Times New Roman"/>
          <w:sz w:val="24"/>
          <w:szCs w:val="24"/>
          <w:lang w:val="en-GB"/>
        </w:rPr>
      </w:pPr>
      <w:r>
        <w:rPr>
          <w:rFonts w:ascii="Times New Roman" w:hAnsi="Times New Roman"/>
          <w:sz w:val="24"/>
          <w:szCs w:val="24"/>
          <w:lang w:val="sr-Cyrl-CS"/>
        </w:rPr>
        <w:t xml:space="preserve">              </w:t>
      </w:r>
      <w:r w:rsidR="00322FAC">
        <w:rPr>
          <w:rFonts w:ascii="Times New Roman" w:hAnsi="Times New Roman"/>
          <w:sz w:val="24"/>
          <w:szCs w:val="24"/>
          <w:lang w:val="sr-Cyrl-CS"/>
        </w:rPr>
        <w:t>После става 2. д</w:t>
      </w:r>
      <w:r w:rsidRPr="00011218">
        <w:rPr>
          <w:rFonts w:ascii="Times New Roman" w:hAnsi="Times New Roman"/>
          <w:sz w:val="24"/>
          <w:szCs w:val="24"/>
          <w:lang w:val="sr-Cyrl-CS"/>
        </w:rPr>
        <w:t>одај</w:t>
      </w:r>
      <w:r w:rsidR="00322FAC">
        <w:rPr>
          <w:rFonts w:ascii="Times New Roman" w:hAnsi="Times New Roman"/>
          <w:sz w:val="24"/>
          <w:szCs w:val="24"/>
          <w:lang w:val="sr-Cyrl-CS"/>
        </w:rPr>
        <w:t>у</w:t>
      </w:r>
      <w:r w:rsidRPr="00011218">
        <w:rPr>
          <w:rFonts w:ascii="Times New Roman" w:hAnsi="Times New Roman"/>
          <w:sz w:val="24"/>
          <w:szCs w:val="24"/>
          <w:lang w:val="sr-Cyrl-CS"/>
        </w:rPr>
        <w:t xml:space="preserve"> се нови ст</w:t>
      </w:r>
      <w:r w:rsidR="00322FAC">
        <w:rPr>
          <w:rFonts w:ascii="Times New Roman" w:hAnsi="Times New Roman"/>
          <w:sz w:val="24"/>
          <w:szCs w:val="24"/>
          <w:lang w:val="sr-Cyrl-CS"/>
        </w:rPr>
        <w:t>.</w:t>
      </w:r>
      <w:r w:rsidRPr="00011218">
        <w:rPr>
          <w:rFonts w:ascii="Times New Roman" w:hAnsi="Times New Roman"/>
          <w:sz w:val="24"/>
          <w:szCs w:val="24"/>
          <w:lang w:val="sr-Cyrl-CS"/>
        </w:rPr>
        <w:t xml:space="preserve"> 3.</w:t>
      </w:r>
      <w:r w:rsidR="00237AC5">
        <w:rPr>
          <w:rFonts w:ascii="Times New Roman" w:hAnsi="Times New Roman"/>
          <w:sz w:val="24"/>
          <w:szCs w:val="24"/>
          <w:lang w:val="sr-Cyrl-CS"/>
        </w:rPr>
        <w:t xml:space="preserve"> </w:t>
      </w:r>
      <w:r w:rsidR="00322FAC">
        <w:rPr>
          <w:rFonts w:ascii="Times New Roman" w:hAnsi="Times New Roman"/>
          <w:sz w:val="24"/>
          <w:szCs w:val="24"/>
          <w:lang w:val="sr-Cyrl-CS"/>
        </w:rPr>
        <w:t>и 4.</w:t>
      </w:r>
      <w:r w:rsidRPr="00011218">
        <w:rPr>
          <w:rFonts w:ascii="Times New Roman" w:hAnsi="Times New Roman"/>
          <w:sz w:val="24"/>
          <w:szCs w:val="24"/>
          <w:lang w:val="sr-Cyrl-CS"/>
        </w:rPr>
        <w:t xml:space="preserve"> </w:t>
      </w:r>
      <w:r w:rsidR="00322FAC">
        <w:rPr>
          <w:rFonts w:ascii="Times New Roman" w:hAnsi="Times New Roman"/>
          <w:sz w:val="24"/>
          <w:szCs w:val="24"/>
          <w:lang w:val="sr-Cyrl-CS"/>
        </w:rPr>
        <w:t>који</w:t>
      </w:r>
      <w:r w:rsidRPr="00011218">
        <w:rPr>
          <w:rFonts w:ascii="Times New Roman" w:hAnsi="Times New Roman"/>
          <w:sz w:val="24"/>
          <w:szCs w:val="24"/>
          <w:lang w:val="sr-Cyrl-CS"/>
        </w:rPr>
        <w:t xml:space="preserve"> глас</w:t>
      </w:r>
      <w:r w:rsidR="00322FAC">
        <w:rPr>
          <w:rFonts w:ascii="Times New Roman" w:hAnsi="Times New Roman"/>
          <w:sz w:val="24"/>
          <w:szCs w:val="24"/>
          <w:lang w:val="sr-Cyrl-CS"/>
        </w:rPr>
        <w:t>е</w:t>
      </w:r>
      <w:r w:rsidRPr="00011218">
        <w:rPr>
          <w:rFonts w:ascii="Times New Roman" w:hAnsi="Times New Roman"/>
          <w:sz w:val="24"/>
          <w:szCs w:val="24"/>
          <w:lang w:val="sr-Cyrl-CS"/>
        </w:rPr>
        <w:t>:</w:t>
      </w:r>
    </w:p>
    <w:p w:rsidR="00E82580" w:rsidRPr="00011218" w:rsidRDefault="00E82580" w:rsidP="00C32CAD">
      <w:pPr>
        <w:autoSpaceDE w:val="0"/>
        <w:autoSpaceDN w:val="0"/>
        <w:adjustRightInd w:val="0"/>
        <w:spacing w:after="0" w:line="240" w:lineRule="auto"/>
        <w:rPr>
          <w:rFonts w:ascii="Times New Roman" w:hAnsi="Times New Roman"/>
          <w:sz w:val="24"/>
          <w:szCs w:val="24"/>
          <w:lang w:val="en-GB"/>
        </w:rPr>
      </w:pPr>
    </w:p>
    <w:p w:rsidR="00E82580" w:rsidRPr="00011218" w:rsidRDefault="00E82580" w:rsidP="00E82580">
      <w:pPr>
        <w:autoSpaceDE w:val="0"/>
        <w:autoSpaceDN w:val="0"/>
        <w:adjustRightInd w:val="0"/>
        <w:spacing w:after="0" w:line="240" w:lineRule="auto"/>
        <w:ind w:firstLine="709"/>
        <w:jc w:val="both"/>
        <w:rPr>
          <w:rFonts w:ascii="Times New Roman" w:hAnsi="Times New Roman"/>
          <w:sz w:val="24"/>
          <w:szCs w:val="24"/>
          <w:lang w:val="sr-Cyrl-CS"/>
        </w:rPr>
      </w:pPr>
      <w:r w:rsidRPr="00011218">
        <w:rPr>
          <w:rFonts w:ascii="Times New Roman" w:hAnsi="Times New Roman"/>
          <w:sz w:val="24"/>
          <w:szCs w:val="24"/>
          <w:lang w:val="en-GB"/>
        </w:rPr>
        <w:t>„</w:t>
      </w:r>
      <w:r w:rsidRPr="00011218">
        <w:rPr>
          <w:rFonts w:ascii="Times New Roman" w:hAnsi="Times New Roman"/>
          <w:sz w:val="24"/>
          <w:szCs w:val="24"/>
          <w:lang w:val="sr-Cyrl-CS"/>
        </w:rPr>
        <w:t>Средства остварена од прихода из става 1. тачка 3) овог члана припадају буџету Републике Србије и користе се у складу са законом којим се уређује буџетски систем.</w:t>
      </w:r>
    </w:p>
    <w:p w:rsidR="00C32CAD" w:rsidRPr="00011218" w:rsidRDefault="00E82580" w:rsidP="00C32CAD">
      <w:pPr>
        <w:autoSpaceDE w:val="0"/>
        <w:autoSpaceDN w:val="0"/>
        <w:adjustRightInd w:val="0"/>
        <w:spacing w:after="0" w:line="240" w:lineRule="auto"/>
        <w:rPr>
          <w:rFonts w:ascii="Times New Roman" w:hAnsi="Times New Roman"/>
          <w:sz w:val="24"/>
          <w:szCs w:val="24"/>
          <w:lang w:val="sr-Cyrl-CS"/>
        </w:rPr>
      </w:pPr>
      <w:r w:rsidRPr="00011218">
        <w:rPr>
          <w:rFonts w:ascii="Times New Roman" w:hAnsi="Times New Roman"/>
          <w:sz w:val="24"/>
          <w:szCs w:val="24"/>
          <w:lang w:val="sr-Cyrl-CS"/>
        </w:rPr>
        <w:t xml:space="preserve">              </w:t>
      </w:r>
      <w:r w:rsidR="00C32CAD" w:rsidRPr="00011218">
        <w:rPr>
          <w:rFonts w:ascii="Times New Roman" w:hAnsi="Times New Roman"/>
          <w:sz w:val="24"/>
          <w:szCs w:val="24"/>
          <w:lang w:val="sr-Cyrl-CS"/>
        </w:rPr>
        <w:t>Садржина годишњег програма рада ближе се уређује одлуком о оснивању.</w:t>
      </w:r>
      <w:r w:rsidR="00322FAC">
        <w:rPr>
          <w:rFonts w:ascii="Times New Roman" w:hAnsi="Times New Roman"/>
          <w:sz w:val="24"/>
          <w:szCs w:val="24"/>
          <w:lang w:val="sr-Cyrl-CS"/>
        </w:rPr>
        <w:t>”</w:t>
      </w:r>
    </w:p>
    <w:p w:rsidR="00743B74" w:rsidRPr="00A56F70" w:rsidRDefault="00743B74" w:rsidP="00C32CAD">
      <w:pPr>
        <w:autoSpaceDE w:val="0"/>
        <w:autoSpaceDN w:val="0"/>
        <w:adjustRightInd w:val="0"/>
        <w:spacing w:after="0" w:line="240" w:lineRule="auto"/>
        <w:rPr>
          <w:rFonts w:ascii="Times New Roman" w:hAnsi="Times New Roman"/>
          <w:sz w:val="24"/>
          <w:szCs w:val="24"/>
          <w:lang w:val="sr-Cyrl-CS"/>
        </w:rPr>
      </w:pPr>
      <w:r w:rsidRPr="00011218">
        <w:rPr>
          <w:rFonts w:ascii="Times New Roman" w:hAnsi="Times New Roman"/>
          <w:sz w:val="24"/>
          <w:szCs w:val="24"/>
          <w:lang w:val="sr-Cyrl-CS"/>
        </w:rPr>
        <w:t xml:space="preserve">              Досадашњи став 3. постаје став 5.</w:t>
      </w:r>
    </w:p>
    <w:p w:rsidR="00C32CAD" w:rsidRPr="00C32CAD" w:rsidRDefault="00C32CAD" w:rsidP="000355F6">
      <w:pPr>
        <w:autoSpaceDE w:val="0"/>
        <w:autoSpaceDN w:val="0"/>
        <w:adjustRightInd w:val="0"/>
        <w:spacing w:after="0" w:line="240" w:lineRule="auto"/>
        <w:rPr>
          <w:rFonts w:ascii="Times New Roman" w:hAnsi="Times New Roman"/>
          <w:sz w:val="24"/>
          <w:szCs w:val="24"/>
          <w:lang w:val="sr-Cyrl-CS"/>
        </w:rPr>
      </w:pPr>
    </w:p>
    <w:p w:rsidR="00FC2D17" w:rsidRPr="00F209F5" w:rsidRDefault="00FC2D17" w:rsidP="000355F6">
      <w:pPr>
        <w:autoSpaceDE w:val="0"/>
        <w:autoSpaceDN w:val="0"/>
        <w:adjustRightInd w:val="0"/>
        <w:spacing w:after="0" w:line="240" w:lineRule="auto"/>
        <w:rPr>
          <w:rFonts w:ascii="Times New Roman" w:hAnsi="Times New Roman"/>
          <w:sz w:val="24"/>
          <w:szCs w:val="24"/>
          <w:lang w:val="sr-Cyrl-RS"/>
        </w:rPr>
      </w:pPr>
    </w:p>
    <w:p w:rsidR="00B473EB" w:rsidRPr="0053480A" w:rsidRDefault="00B473EB" w:rsidP="000355F6">
      <w:pPr>
        <w:autoSpaceDE w:val="0"/>
        <w:autoSpaceDN w:val="0"/>
        <w:adjustRightInd w:val="0"/>
        <w:spacing w:after="0" w:line="240" w:lineRule="auto"/>
        <w:jc w:val="center"/>
        <w:rPr>
          <w:rFonts w:ascii="Times New Roman" w:hAnsi="Times New Roman"/>
          <w:sz w:val="24"/>
          <w:szCs w:val="24"/>
        </w:rPr>
      </w:pPr>
      <w:r w:rsidRPr="0053480A">
        <w:rPr>
          <w:rFonts w:ascii="Times New Roman" w:hAnsi="Times New Roman"/>
          <w:sz w:val="24"/>
          <w:szCs w:val="24"/>
        </w:rPr>
        <w:t xml:space="preserve">Члан </w:t>
      </w:r>
      <w:r w:rsidR="00562FAB" w:rsidRPr="0053480A">
        <w:rPr>
          <w:rFonts w:ascii="Times New Roman" w:hAnsi="Times New Roman"/>
          <w:sz w:val="24"/>
          <w:szCs w:val="24"/>
        </w:rPr>
        <w:t>8</w:t>
      </w:r>
      <w:r w:rsidRPr="0053480A">
        <w:rPr>
          <w:rFonts w:ascii="Times New Roman" w:hAnsi="Times New Roman"/>
          <w:sz w:val="24"/>
          <w:szCs w:val="24"/>
        </w:rPr>
        <w:t>.</w:t>
      </w:r>
    </w:p>
    <w:p w:rsidR="000B316B" w:rsidRPr="00F209F5" w:rsidRDefault="000B316B" w:rsidP="000355F6">
      <w:pPr>
        <w:autoSpaceDE w:val="0"/>
        <w:autoSpaceDN w:val="0"/>
        <w:adjustRightInd w:val="0"/>
        <w:spacing w:after="0" w:line="240" w:lineRule="auto"/>
        <w:jc w:val="center"/>
        <w:rPr>
          <w:rFonts w:ascii="Times New Roman" w:hAnsi="Times New Roman"/>
          <w:sz w:val="24"/>
          <w:szCs w:val="24"/>
        </w:rPr>
      </w:pPr>
    </w:p>
    <w:p w:rsidR="00B473EB" w:rsidRDefault="000B316B" w:rsidP="000355F6">
      <w:pPr>
        <w:autoSpaceDE w:val="0"/>
        <w:autoSpaceDN w:val="0"/>
        <w:adjustRightInd w:val="0"/>
        <w:spacing w:after="0" w:line="240" w:lineRule="auto"/>
        <w:rPr>
          <w:rFonts w:ascii="Times New Roman" w:hAnsi="Times New Roman"/>
          <w:sz w:val="24"/>
          <w:szCs w:val="24"/>
          <w:lang w:val="sr-Cyrl-RS"/>
        </w:rPr>
      </w:pPr>
      <w:r w:rsidRPr="00F209F5">
        <w:rPr>
          <w:rFonts w:ascii="Times New Roman" w:hAnsi="Times New Roman"/>
          <w:sz w:val="24"/>
          <w:szCs w:val="24"/>
        </w:rPr>
        <w:t xml:space="preserve">           </w:t>
      </w:r>
      <w:r w:rsidR="0095578D">
        <w:rPr>
          <w:rFonts w:ascii="Times New Roman" w:hAnsi="Times New Roman"/>
          <w:sz w:val="24"/>
          <w:szCs w:val="24"/>
          <w:lang w:val="sr-Cyrl-RS"/>
        </w:rPr>
        <w:t xml:space="preserve">Назив главе </w:t>
      </w:r>
      <w:r w:rsidR="0095578D">
        <w:rPr>
          <w:rFonts w:ascii="Times New Roman" w:hAnsi="Times New Roman"/>
          <w:sz w:val="24"/>
          <w:szCs w:val="24"/>
        </w:rPr>
        <w:t>III</w:t>
      </w:r>
      <w:r w:rsidR="0095578D">
        <w:rPr>
          <w:rFonts w:ascii="Times New Roman" w:hAnsi="Times New Roman"/>
          <w:sz w:val="24"/>
          <w:szCs w:val="24"/>
          <w:lang w:val="sr-Cyrl-RS"/>
        </w:rPr>
        <w:t>.</w:t>
      </w:r>
      <w:r w:rsidR="0095578D">
        <w:rPr>
          <w:rFonts w:ascii="Times New Roman" w:hAnsi="Times New Roman"/>
          <w:sz w:val="24"/>
          <w:szCs w:val="24"/>
        </w:rPr>
        <w:t xml:space="preserve"> </w:t>
      </w:r>
      <w:r w:rsidR="0095578D">
        <w:rPr>
          <w:rFonts w:ascii="Times New Roman" w:hAnsi="Times New Roman"/>
          <w:sz w:val="24"/>
          <w:szCs w:val="24"/>
          <w:lang w:val="sr-Cyrl-RS"/>
        </w:rPr>
        <w:t>и ч</w:t>
      </w:r>
      <w:r w:rsidR="00B473EB" w:rsidRPr="00F209F5">
        <w:rPr>
          <w:rFonts w:ascii="Times New Roman" w:hAnsi="Times New Roman"/>
          <w:sz w:val="24"/>
          <w:szCs w:val="24"/>
        </w:rPr>
        <w:t>лан 12. мења</w:t>
      </w:r>
      <w:r w:rsidR="0095578D">
        <w:rPr>
          <w:rFonts w:ascii="Times New Roman" w:hAnsi="Times New Roman"/>
          <w:sz w:val="24"/>
          <w:szCs w:val="24"/>
          <w:lang w:val="sr-Cyrl-RS"/>
        </w:rPr>
        <w:t>ју</w:t>
      </w:r>
      <w:r w:rsidR="00B473EB" w:rsidRPr="00F209F5">
        <w:rPr>
          <w:rFonts w:ascii="Times New Roman" w:hAnsi="Times New Roman"/>
          <w:sz w:val="24"/>
          <w:szCs w:val="24"/>
        </w:rPr>
        <w:t xml:space="preserve"> се и глас</w:t>
      </w:r>
      <w:r w:rsidR="0095578D">
        <w:rPr>
          <w:rFonts w:ascii="Times New Roman" w:hAnsi="Times New Roman"/>
          <w:sz w:val="24"/>
          <w:szCs w:val="24"/>
          <w:lang w:val="sr-Cyrl-RS"/>
        </w:rPr>
        <w:t>е</w:t>
      </w:r>
      <w:r w:rsidR="00B473EB" w:rsidRPr="00F209F5">
        <w:rPr>
          <w:rFonts w:ascii="Times New Roman" w:hAnsi="Times New Roman"/>
          <w:sz w:val="24"/>
          <w:szCs w:val="24"/>
        </w:rPr>
        <w:t>:</w:t>
      </w:r>
    </w:p>
    <w:p w:rsidR="0095578D" w:rsidRDefault="0095578D" w:rsidP="000355F6">
      <w:pPr>
        <w:autoSpaceDE w:val="0"/>
        <w:autoSpaceDN w:val="0"/>
        <w:adjustRightInd w:val="0"/>
        <w:spacing w:after="0" w:line="240" w:lineRule="auto"/>
        <w:rPr>
          <w:rFonts w:ascii="Times New Roman" w:hAnsi="Times New Roman"/>
          <w:sz w:val="24"/>
          <w:szCs w:val="24"/>
          <w:lang w:val="sr-Cyrl-RS"/>
        </w:rPr>
      </w:pPr>
    </w:p>
    <w:p w:rsidR="0095578D" w:rsidRPr="0095578D" w:rsidRDefault="0095578D" w:rsidP="0095578D">
      <w:pPr>
        <w:autoSpaceDE w:val="0"/>
        <w:autoSpaceDN w:val="0"/>
        <w:adjustRightInd w:val="0"/>
        <w:spacing w:after="0" w:line="240" w:lineRule="auto"/>
        <w:jc w:val="center"/>
        <w:rPr>
          <w:rFonts w:ascii="Times New Roman" w:hAnsi="Times New Roman"/>
          <w:sz w:val="24"/>
          <w:szCs w:val="24"/>
          <w:lang w:val="sr-Cyrl-RS"/>
        </w:rPr>
      </w:pPr>
      <w:r>
        <w:rPr>
          <w:rFonts w:ascii="Times New Roman" w:hAnsi="Times New Roman"/>
          <w:sz w:val="24"/>
          <w:szCs w:val="24"/>
          <w:lang w:val="sr-Cyrl-RS"/>
        </w:rPr>
        <w:t xml:space="preserve"> </w:t>
      </w:r>
      <w:r w:rsidR="00980805">
        <w:rPr>
          <w:rFonts w:ascii="Times New Roman" w:hAnsi="Times New Roman"/>
          <w:sz w:val="24"/>
          <w:szCs w:val="24"/>
          <w:lang w:val="sr-Cyrl-RS"/>
        </w:rPr>
        <w:t>„</w:t>
      </w:r>
      <w:r w:rsidRPr="0095578D">
        <w:rPr>
          <w:rFonts w:ascii="Times New Roman" w:hAnsi="Times New Roman"/>
          <w:sz w:val="24"/>
          <w:szCs w:val="24"/>
          <w:lang w:val="sr-Latn-CS"/>
        </w:rPr>
        <w:t>III</w:t>
      </w:r>
      <w:r>
        <w:rPr>
          <w:rFonts w:ascii="Times New Roman" w:hAnsi="Times New Roman"/>
          <w:sz w:val="24"/>
          <w:szCs w:val="24"/>
          <w:lang w:val="sr-Cyrl-RS"/>
        </w:rPr>
        <w:t>.</w:t>
      </w:r>
      <w:r w:rsidRPr="0095578D">
        <w:rPr>
          <w:rFonts w:ascii="Times New Roman" w:hAnsi="Times New Roman"/>
          <w:sz w:val="24"/>
          <w:szCs w:val="24"/>
          <w:lang w:val="sr-Latn-CS"/>
        </w:rPr>
        <w:t xml:space="preserve"> </w:t>
      </w:r>
      <w:r w:rsidRPr="0095578D">
        <w:rPr>
          <w:rFonts w:ascii="Times New Roman" w:hAnsi="Times New Roman"/>
          <w:sz w:val="24"/>
          <w:szCs w:val="24"/>
          <w:lang w:val="sr-Cyrl-CS"/>
        </w:rPr>
        <w:t>ДОНОШЕЊЕ, ОБЈАВЉИВАЊЕ, ПОВЛАЧЕЊЕ И ОЗНАЧАВАЊЕ СРПСКИХ СТАНДАРДА</w:t>
      </w:r>
    </w:p>
    <w:p w:rsidR="0095578D" w:rsidRPr="0095578D" w:rsidRDefault="0095578D" w:rsidP="000355F6">
      <w:pPr>
        <w:autoSpaceDE w:val="0"/>
        <w:autoSpaceDN w:val="0"/>
        <w:adjustRightInd w:val="0"/>
        <w:spacing w:after="0" w:line="240" w:lineRule="auto"/>
        <w:rPr>
          <w:rFonts w:ascii="Times New Roman" w:hAnsi="Times New Roman"/>
          <w:sz w:val="24"/>
          <w:szCs w:val="24"/>
          <w:lang w:val="sr-Cyrl-RS"/>
        </w:rPr>
      </w:pPr>
    </w:p>
    <w:p w:rsidR="00B473EB" w:rsidRPr="00F209F5" w:rsidRDefault="00B473EB" w:rsidP="000B316B">
      <w:pPr>
        <w:tabs>
          <w:tab w:val="left" w:pos="851"/>
        </w:tabs>
        <w:autoSpaceDE w:val="0"/>
        <w:autoSpaceDN w:val="0"/>
        <w:adjustRightInd w:val="0"/>
        <w:spacing w:after="0" w:line="240" w:lineRule="auto"/>
        <w:jc w:val="center"/>
        <w:rPr>
          <w:rFonts w:ascii="Times New Roman" w:hAnsi="Times New Roman"/>
          <w:sz w:val="24"/>
          <w:szCs w:val="24"/>
        </w:rPr>
      </w:pPr>
      <w:r w:rsidRPr="00F209F5">
        <w:rPr>
          <w:rFonts w:ascii="Times New Roman" w:hAnsi="Times New Roman"/>
          <w:sz w:val="24"/>
          <w:szCs w:val="24"/>
        </w:rPr>
        <w:t>Члан 12</w:t>
      </w:r>
      <w:r w:rsidR="000B316B" w:rsidRPr="00F209F5">
        <w:rPr>
          <w:rFonts w:ascii="Times New Roman" w:hAnsi="Times New Roman"/>
          <w:sz w:val="24"/>
          <w:szCs w:val="24"/>
        </w:rPr>
        <w:t>.</w:t>
      </w:r>
    </w:p>
    <w:p w:rsidR="000B316B" w:rsidRPr="00F209F5" w:rsidRDefault="000B316B" w:rsidP="000B316B">
      <w:pPr>
        <w:tabs>
          <w:tab w:val="left" w:pos="851"/>
        </w:tabs>
        <w:autoSpaceDE w:val="0"/>
        <w:autoSpaceDN w:val="0"/>
        <w:adjustRightInd w:val="0"/>
        <w:spacing w:after="0" w:line="240" w:lineRule="auto"/>
        <w:jc w:val="center"/>
        <w:rPr>
          <w:rFonts w:ascii="Times New Roman" w:hAnsi="Times New Roman"/>
          <w:sz w:val="24"/>
          <w:szCs w:val="24"/>
        </w:rPr>
      </w:pPr>
    </w:p>
    <w:p w:rsidR="00B473EB" w:rsidRPr="00F209F5" w:rsidRDefault="000B316B" w:rsidP="009B3C95">
      <w:pPr>
        <w:tabs>
          <w:tab w:val="left" w:pos="709"/>
          <w:tab w:val="left" w:pos="851"/>
        </w:tabs>
        <w:autoSpaceDE w:val="0"/>
        <w:autoSpaceDN w:val="0"/>
        <w:adjustRightInd w:val="0"/>
        <w:spacing w:after="0" w:line="240" w:lineRule="auto"/>
        <w:jc w:val="both"/>
        <w:rPr>
          <w:rFonts w:ascii="Times New Roman" w:hAnsi="Times New Roman"/>
          <w:sz w:val="24"/>
          <w:szCs w:val="24"/>
          <w:lang w:val="sr-Cyrl-RS"/>
        </w:rPr>
      </w:pPr>
      <w:r w:rsidRPr="00F209F5">
        <w:rPr>
          <w:rFonts w:ascii="Times New Roman" w:hAnsi="Times New Roman"/>
          <w:sz w:val="24"/>
          <w:szCs w:val="24"/>
        </w:rPr>
        <w:t xml:space="preserve">             </w:t>
      </w:r>
      <w:r w:rsidR="00B473EB" w:rsidRPr="00F209F5">
        <w:rPr>
          <w:rFonts w:ascii="Times New Roman" w:hAnsi="Times New Roman"/>
          <w:sz w:val="24"/>
          <w:szCs w:val="24"/>
        </w:rPr>
        <w:t xml:space="preserve">Српски стандарди </w:t>
      </w:r>
      <w:r w:rsidR="009B0242" w:rsidRPr="00237AC5">
        <w:rPr>
          <w:rFonts w:ascii="Times New Roman" w:hAnsi="Times New Roman"/>
          <w:sz w:val="24"/>
          <w:szCs w:val="24"/>
          <w:lang w:val="sr-Cyrl-RS"/>
        </w:rPr>
        <w:t>се</w:t>
      </w:r>
      <w:r w:rsidR="009B0242" w:rsidRPr="00F209F5">
        <w:rPr>
          <w:rFonts w:ascii="Times New Roman" w:hAnsi="Times New Roman"/>
          <w:sz w:val="24"/>
          <w:szCs w:val="24"/>
        </w:rPr>
        <w:t xml:space="preserve"> </w:t>
      </w:r>
      <w:r w:rsidR="00B473EB" w:rsidRPr="00F209F5">
        <w:rPr>
          <w:rFonts w:ascii="Times New Roman" w:hAnsi="Times New Roman"/>
          <w:sz w:val="24"/>
          <w:szCs w:val="24"/>
        </w:rPr>
        <w:t>доносе</w:t>
      </w:r>
      <w:r w:rsidR="002C2C97">
        <w:rPr>
          <w:rFonts w:ascii="Times New Roman" w:hAnsi="Times New Roman"/>
          <w:sz w:val="24"/>
          <w:szCs w:val="24"/>
          <w:lang w:val="sr-Cyrl-RS"/>
        </w:rPr>
        <w:t>, повлаче</w:t>
      </w:r>
      <w:r w:rsidR="00B473EB" w:rsidRPr="00F209F5">
        <w:rPr>
          <w:rFonts w:ascii="Times New Roman" w:hAnsi="Times New Roman"/>
          <w:sz w:val="24"/>
          <w:szCs w:val="24"/>
        </w:rPr>
        <w:t xml:space="preserve"> </w:t>
      </w:r>
      <w:r w:rsidR="002C2C97">
        <w:rPr>
          <w:rFonts w:ascii="Times New Roman" w:hAnsi="Times New Roman"/>
          <w:sz w:val="24"/>
          <w:szCs w:val="24"/>
          <w:lang w:val="sr-Cyrl-RS"/>
        </w:rPr>
        <w:t xml:space="preserve">и </w:t>
      </w:r>
      <w:r w:rsidR="00B473EB" w:rsidRPr="00F209F5">
        <w:rPr>
          <w:rFonts w:ascii="Times New Roman" w:hAnsi="Times New Roman"/>
          <w:sz w:val="24"/>
          <w:szCs w:val="24"/>
        </w:rPr>
        <w:t>објављују у складу са овим законом и правилима</w:t>
      </w:r>
      <w:r w:rsidR="00BB6789" w:rsidRPr="00F209F5">
        <w:rPr>
          <w:rFonts w:ascii="Times New Roman" w:hAnsi="Times New Roman"/>
          <w:sz w:val="24"/>
          <w:szCs w:val="24"/>
        </w:rPr>
        <w:t xml:space="preserve"> </w:t>
      </w:r>
      <w:r w:rsidR="00B473EB" w:rsidRPr="00F209F5">
        <w:rPr>
          <w:rFonts w:ascii="Times New Roman" w:hAnsi="Times New Roman"/>
          <w:sz w:val="24"/>
          <w:szCs w:val="24"/>
        </w:rPr>
        <w:t>Института која су усклађена са правилима међународних и европских организација за</w:t>
      </w:r>
      <w:r w:rsidR="00BB6789" w:rsidRPr="00F209F5">
        <w:rPr>
          <w:rFonts w:ascii="Times New Roman" w:hAnsi="Times New Roman"/>
          <w:sz w:val="24"/>
          <w:szCs w:val="24"/>
        </w:rPr>
        <w:t xml:space="preserve"> </w:t>
      </w:r>
      <w:r w:rsidR="00B473EB" w:rsidRPr="00F209F5">
        <w:rPr>
          <w:rFonts w:ascii="Times New Roman" w:hAnsi="Times New Roman"/>
          <w:sz w:val="24"/>
          <w:szCs w:val="24"/>
        </w:rPr>
        <w:t>стандардизацију и Кодексом добре праксе за израду, доношење и примену стандарда из</w:t>
      </w:r>
      <w:r w:rsidR="00BB6789" w:rsidRPr="00F209F5">
        <w:rPr>
          <w:rFonts w:ascii="Times New Roman" w:hAnsi="Times New Roman"/>
          <w:sz w:val="24"/>
          <w:szCs w:val="24"/>
        </w:rPr>
        <w:t xml:space="preserve"> </w:t>
      </w:r>
      <w:r w:rsidR="00B473EB" w:rsidRPr="00F209F5">
        <w:rPr>
          <w:rFonts w:ascii="Times New Roman" w:hAnsi="Times New Roman"/>
          <w:sz w:val="24"/>
          <w:szCs w:val="24"/>
        </w:rPr>
        <w:t>Споразума о техничким препрекама трговини Светске трговинске организације.</w:t>
      </w:r>
    </w:p>
    <w:p w:rsidR="00B473EB" w:rsidRPr="00F209F5" w:rsidRDefault="00254A54" w:rsidP="00254A54">
      <w:pPr>
        <w:tabs>
          <w:tab w:val="left" w:pos="851"/>
        </w:tabs>
        <w:autoSpaceDE w:val="0"/>
        <w:autoSpaceDN w:val="0"/>
        <w:adjustRightInd w:val="0"/>
        <w:spacing w:after="0" w:line="240" w:lineRule="auto"/>
        <w:jc w:val="both"/>
        <w:rPr>
          <w:rFonts w:ascii="Times New Roman" w:hAnsi="Times New Roman"/>
          <w:sz w:val="24"/>
          <w:szCs w:val="24"/>
          <w:lang w:val="sr-Cyrl-RS"/>
        </w:rPr>
      </w:pPr>
      <w:r>
        <w:rPr>
          <w:rFonts w:ascii="Times New Roman" w:hAnsi="Times New Roman"/>
          <w:sz w:val="24"/>
          <w:szCs w:val="24"/>
          <w:lang w:val="sr-Cyrl-RS"/>
        </w:rPr>
        <w:tab/>
      </w:r>
      <w:r w:rsidR="00B473EB" w:rsidRPr="00F209F5">
        <w:rPr>
          <w:rFonts w:ascii="Times New Roman" w:hAnsi="Times New Roman"/>
          <w:sz w:val="24"/>
          <w:szCs w:val="24"/>
        </w:rPr>
        <w:t xml:space="preserve">Српски стандарди доносе се на основу плана доношења </w:t>
      </w:r>
      <w:r w:rsidR="00C03272">
        <w:rPr>
          <w:rFonts w:ascii="Times New Roman" w:hAnsi="Times New Roman"/>
          <w:sz w:val="24"/>
          <w:szCs w:val="24"/>
          <w:lang w:val="sr-Cyrl-RS"/>
        </w:rPr>
        <w:t xml:space="preserve">српских </w:t>
      </w:r>
      <w:r w:rsidR="00B473EB" w:rsidRPr="00F209F5">
        <w:rPr>
          <w:rFonts w:ascii="Times New Roman" w:hAnsi="Times New Roman"/>
          <w:sz w:val="24"/>
          <w:szCs w:val="24"/>
        </w:rPr>
        <w:t>стандарда који се утврђује</w:t>
      </w:r>
      <w:r w:rsidR="00BB6789" w:rsidRPr="00F209F5">
        <w:rPr>
          <w:rFonts w:ascii="Times New Roman" w:hAnsi="Times New Roman"/>
          <w:sz w:val="24"/>
          <w:szCs w:val="24"/>
        </w:rPr>
        <w:t xml:space="preserve"> </w:t>
      </w:r>
      <w:r w:rsidR="00B473EB" w:rsidRPr="00F209F5">
        <w:rPr>
          <w:rFonts w:ascii="Times New Roman" w:hAnsi="Times New Roman"/>
          <w:sz w:val="24"/>
          <w:szCs w:val="24"/>
        </w:rPr>
        <w:t>најмање једанпут годишње</w:t>
      </w:r>
      <w:r w:rsidR="00AB4BC4" w:rsidRPr="00F209F5">
        <w:rPr>
          <w:rFonts w:ascii="Times New Roman" w:hAnsi="Times New Roman"/>
          <w:sz w:val="24"/>
          <w:szCs w:val="24"/>
          <w:lang w:val="sr-Cyrl-RS"/>
        </w:rPr>
        <w:t xml:space="preserve"> </w:t>
      </w:r>
      <w:r w:rsidR="00B473EB" w:rsidRPr="00F209F5">
        <w:rPr>
          <w:rFonts w:ascii="Times New Roman" w:hAnsi="Times New Roman"/>
          <w:sz w:val="24"/>
          <w:szCs w:val="24"/>
        </w:rPr>
        <w:t>и који је јавно доступан</w:t>
      </w:r>
      <w:r w:rsidR="00FE2237">
        <w:rPr>
          <w:rFonts w:ascii="Times New Roman" w:hAnsi="Times New Roman"/>
          <w:sz w:val="24"/>
          <w:szCs w:val="24"/>
          <w:lang w:val="sr-Cyrl-CS"/>
        </w:rPr>
        <w:t xml:space="preserve"> на интернет </w:t>
      </w:r>
      <w:r>
        <w:rPr>
          <w:rFonts w:ascii="Times New Roman" w:hAnsi="Times New Roman"/>
          <w:sz w:val="24"/>
          <w:szCs w:val="24"/>
          <w:lang w:val="sr-Cyrl-CS"/>
        </w:rPr>
        <w:t>страници</w:t>
      </w:r>
      <w:r w:rsidR="00FE2237">
        <w:rPr>
          <w:rFonts w:ascii="Times New Roman" w:hAnsi="Times New Roman"/>
          <w:sz w:val="24"/>
          <w:szCs w:val="24"/>
          <w:lang w:val="sr-Cyrl-CS"/>
        </w:rPr>
        <w:t xml:space="preserve"> Института</w:t>
      </w:r>
      <w:r w:rsidR="00B473EB" w:rsidRPr="00F209F5">
        <w:rPr>
          <w:rFonts w:ascii="Times New Roman" w:hAnsi="Times New Roman"/>
          <w:sz w:val="24"/>
          <w:szCs w:val="24"/>
        </w:rPr>
        <w:t>.</w:t>
      </w:r>
    </w:p>
    <w:p w:rsidR="00FE2237" w:rsidRPr="00980805" w:rsidRDefault="000B316B" w:rsidP="000355F6">
      <w:pPr>
        <w:autoSpaceDE w:val="0"/>
        <w:autoSpaceDN w:val="0"/>
        <w:adjustRightInd w:val="0"/>
        <w:spacing w:after="0" w:line="240" w:lineRule="auto"/>
        <w:jc w:val="both"/>
        <w:rPr>
          <w:rFonts w:ascii="Times New Roman" w:hAnsi="Times New Roman"/>
          <w:sz w:val="24"/>
          <w:szCs w:val="24"/>
        </w:rPr>
      </w:pPr>
      <w:r w:rsidRPr="00F209F5">
        <w:rPr>
          <w:rFonts w:ascii="Times New Roman" w:hAnsi="Times New Roman"/>
          <w:sz w:val="24"/>
          <w:szCs w:val="24"/>
          <w:lang w:val="sr-Cyrl-RS"/>
        </w:rPr>
        <w:tab/>
      </w:r>
      <w:r w:rsidR="00FE2237">
        <w:rPr>
          <w:rFonts w:ascii="Times New Roman" w:hAnsi="Times New Roman"/>
          <w:sz w:val="24"/>
          <w:szCs w:val="24"/>
          <w:lang w:val="sr-Cyrl-CS"/>
        </w:rPr>
        <w:t xml:space="preserve"> </w:t>
      </w:r>
      <w:r w:rsidR="00FE2237" w:rsidRPr="00F209F5">
        <w:rPr>
          <w:rFonts w:ascii="Times New Roman" w:hAnsi="Times New Roman"/>
          <w:sz w:val="24"/>
          <w:szCs w:val="24"/>
        </w:rPr>
        <w:t>План доношења српских стандарда</w:t>
      </w:r>
      <w:r w:rsidR="00FE2237" w:rsidRPr="00FE2237">
        <w:rPr>
          <w:rFonts w:ascii="Times New Roman" w:hAnsi="Times New Roman"/>
          <w:sz w:val="24"/>
          <w:szCs w:val="24"/>
        </w:rPr>
        <w:t xml:space="preserve"> </w:t>
      </w:r>
      <w:r w:rsidR="00FE2237" w:rsidRPr="00F209F5">
        <w:rPr>
          <w:rFonts w:ascii="Times New Roman" w:hAnsi="Times New Roman"/>
          <w:sz w:val="24"/>
          <w:szCs w:val="24"/>
        </w:rPr>
        <w:t>садржи информацију</w:t>
      </w:r>
      <w:r w:rsidR="00FE2237">
        <w:rPr>
          <w:rFonts w:ascii="Times New Roman" w:hAnsi="Times New Roman"/>
          <w:sz w:val="24"/>
          <w:szCs w:val="24"/>
          <w:lang w:val="sr-Cyrl-CS"/>
        </w:rPr>
        <w:t xml:space="preserve"> о стандардима и сродним документима које Институт намерава да донесе или мења, које је донео или изменио на основу претходног плана доношења српских стандарда и на којима тренутно ради, а који нису настали идентичним или еквивалентним преузимањем међународних или европских стандарда</w:t>
      </w:r>
      <w:r w:rsidR="00980805">
        <w:rPr>
          <w:rFonts w:ascii="Times New Roman" w:hAnsi="Times New Roman"/>
          <w:sz w:val="24"/>
          <w:szCs w:val="24"/>
        </w:rPr>
        <w:t>.</w:t>
      </w:r>
    </w:p>
    <w:p w:rsidR="00FE2237" w:rsidRPr="000C08BF" w:rsidRDefault="00FE2237" w:rsidP="000355F6">
      <w:pPr>
        <w:autoSpaceDE w:val="0"/>
        <w:autoSpaceDN w:val="0"/>
        <w:adjustRightInd w:val="0"/>
        <w:spacing w:after="0" w:line="240" w:lineRule="auto"/>
        <w:jc w:val="both"/>
        <w:rPr>
          <w:rFonts w:ascii="Times New Roman" w:hAnsi="Times New Roman"/>
          <w:sz w:val="24"/>
          <w:szCs w:val="24"/>
          <w:lang w:val="sr-Cyrl-CS"/>
        </w:rPr>
      </w:pPr>
      <w:r>
        <w:rPr>
          <w:rFonts w:ascii="Times New Roman" w:hAnsi="Times New Roman"/>
          <w:sz w:val="24"/>
          <w:szCs w:val="24"/>
          <w:lang w:val="sr-Cyrl-CS"/>
        </w:rPr>
        <w:t xml:space="preserve">             План доношења </w:t>
      </w:r>
      <w:r w:rsidR="00254A54">
        <w:rPr>
          <w:rFonts w:ascii="Times New Roman" w:hAnsi="Times New Roman"/>
          <w:sz w:val="24"/>
          <w:szCs w:val="24"/>
          <w:lang w:val="sr-Cyrl-RS"/>
        </w:rPr>
        <w:t xml:space="preserve">српских </w:t>
      </w:r>
      <w:r>
        <w:rPr>
          <w:rFonts w:ascii="Times New Roman" w:hAnsi="Times New Roman"/>
          <w:sz w:val="24"/>
          <w:szCs w:val="24"/>
          <w:lang w:val="sr-Cyrl-CS"/>
        </w:rPr>
        <w:t xml:space="preserve">стандарда садржи и информацију о броју међународних и европских стандарда за које се на основу доступних података међународних и европских организација за стандардизацију очекује да ће их Институт преузети у систем националне стандардизације. </w:t>
      </w:r>
    </w:p>
    <w:p w:rsidR="00B473EB" w:rsidRPr="00F209F5" w:rsidRDefault="000B316B" w:rsidP="009B3C95">
      <w:pPr>
        <w:tabs>
          <w:tab w:val="left" w:pos="709"/>
          <w:tab w:val="left" w:pos="851"/>
        </w:tabs>
        <w:autoSpaceDE w:val="0"/>
        <w:autoSpaceDN w:val="0"/>
        <w:adjustRightInd w:val="0"/>
        <w:spacing w:after="0" w:line="240" w:lineRule="auto"/>
        <w:jc w:val="both"/>
        <w:rPr>
          <w:rFonts w:ascii="Times New Roman" w:hAnsi="Times New Roman"/>
          <w:sz w:val="24"/>
          <w:szCs w:val="24"/>
        </w:rPr>
      </w:pPr>
      <w:r w:rsidRPr="00F209F5">
        <w:rPr>
          <w:rFonts w:ascii="Times New Roman" w:hAnsi="Times New Roman"/>
          <w:sz w:val="24"/>
          <w:szCs w:val="24"/>
        </w:rPr>
        <w:t xml:space="preserve">            </w:t>
      </w:r>
      <w:r w:rsidR="00B473EB" w:rsidRPr="00F209F5">
        <w:rPr>
          <w:rFonts w:ascii="Times New Roman" w:hAnsi="Times New Roman"/>
          <w:sz w:val="24"/>
          <w:szCs w:val="24"/>
        </w:rPr>
        <w:t>Садржина плана из ст</w:t>
      </w:r>
      <w:r w:rsidR="00C33A4A" w:rsidRPr="00F209F5">
        <w:rPr>
          <w:rFonts w:ascii="Times New Roman" w:hAnsi="Times New Roman"/>
          <w:sz w:val="24"/>
          <w:szCs w:val="24"/>
          <w:lang w:val="sr-Cyrl-CS"/>
        </w:rPr>
        <w:t>ава</w:t>
      </w:r>
      <w:r w:rsidR="00FE2237">
        <w:rPr>
          <w:rFonts w:ascii="Times New Roman" w:hAnsi="Times New Roman"/>
          <w:sz w:val="24"/>
          <w:szCs w:val="24"/>
          <w:lang w:val="sr-Cyrl-CS"/>
        </w:rPr>
        <w:t xml:space="preserve"> 2</w:t>
      </w:r>
      <w:r w:rsidR="00290246" w:rsidRPr="00F209F5">
        <w:rPr>
          <w:rFonts w:ascii="Times New Roman" w:hAnsi="Times New Roman"/>
          <w:sz w:val="24"/>
          <w:szCs w:val="24"/>
          <w:lang w:val="sr-Cyrl-CS"/>
        </w:rPr>
        <w:t>.</w:t>
      </w:r>
      <w:r w:rsidR="00B473EB" w:rsidRPr="00F209F5">
        <w:rPr>
          <w:rFonts w:ascii="Times New Roman" w:hAnsi="Times New Roman"/>
          <w:sz w:val="24"/>
          <w:szCs w:val="24"/>
        </w:rPr>
        <w:t xml:space="preserve"> овог члана, ближе се уређује </w:t>
      </w:r>
      <w:r w:rsidR="00581141">
        <w:rPr>
          <w:rFonts w:ascii="Times New Roman" w:hAnsi="Times New Roman"/>
          <w:sz w:val="24"/>
          <w:szCs w:val="24"/>
          <w:lang w:val="sr-Cyrl-RS"/>
        </w:rPr>
        <w:t>одлуком о оснивању</w:t>
      </w:r>
      <w:r w:rsidR="00DB1775" w:rsidRPr="00F209F5">
        <w:rPr>
          <w:rFonts w:ascii="Times New Roman" w:hAnsi="Times New Roman"/>
          <w:sz w:val="24"/>
          <w:szCs w:val="24"/>
          <w:lang w:val="sr-Cyrl-RS"/>
        </w:rPr>
        <w:t>.</w:t>
      </w:r>
    </w:p>
    <w:p w:rsidR="00B473EB" w:rsidRPr="00F209F5" w:rsidRDefault="000B316B" w:rsidP="001E230A">
      <w:pPr>
        <w:tabs>
          <w:tab w:val="left" w:pos="709"/>
          <w:tab w:val="left" w:pos="851"/>
        </w:tabs>
        <w:autoSpaceDE w:val="0"/>
        <w:autoSpaceDN w:val="0"/>
        <w:adjustRightInd w:val="0"/>
        <w:spacing w:after="0" w:line="240" w:lineRule="auto"/>
        <w:jc w:val="both"/>
        <w:rPr>
          <w:rFonts w:ascii="Times New Roman" w:hAnsi="Times New Roman"/>
          <w:sz w:val="24"/>
          <w:szCs w:val="24"/>
        </w:rPr>
      </w:pPr>
      <w:r w:rsidRPr="00F209F5">
        <w:rPr>
          <w:rFonts w:ascii="Times New Roman" w:hAnsi="Times New Roman"/>
          <w:sz w:val="24"/>
          <w:szCs w:val="24"/>
        </w:rPr>
        <w:t xml:space="preserve">            </w:t>
      </w:r>
      <w:r w:rsidR="00B473EB" w:rsidRPr="00F209F5">
        <w:rPr>
          <w:rFonts w:ascii="Times New Roman" w:hAnsi="Times New Roman"/>
          <w:sz w:val="24"/>
          <w:szCs w:val="24"/>
        </w:rPr>
        <w:t>Као основа за доношење српских стандарда користе се по правилу међународни,</w:t>
      </w:r>
      <w:r w:rsidR="00BB6789" w:rsidRPr="00F209F5">
        <w:rPr>
          <w:rFonts w:ascii="Times New Roman" w:hAnsi="Times New Roman"/>
          <w:sz w:val="24"/>
          <w:szCs w:val="24"/>
        </w:rPr>
        <w:t xml:space="preserve"> </w:t>
      </w:r>
      <w:r w:rsidR="00B473EB" w:rsidRPr="00F209F5">
        <w:rPr>
          <w:rFonts w:ascii="Times New Roman" w:hAnsi="Times New Roman"/>
          <w:sz w:val="24"/>
          <w:szCs w:val="24"/>
        </w:rPr>
        <w:t>односно европски стандарди и сродни документи. У случају да у одређеној области не</w:t>
      </w:r>
      <w:r w:rsidR="00BB6789" w:rsidRPr="00F209F5">
        <w:rPr>
          <w:rFonts w:ascii="Times New Roman" w:hAnsi="Times New Roman"/>
          <w:sz w:val="24"/>
          <w:szCs w:val="24"/>
        </w:rPr>
        <w:t xml:space="preserve"> </w:t>
      </w:r>
      <w:r w:rsidR="00B473EB" w:rsidRPr="00F209F5">
        <w:rPr>
          <w:rFonts w:ascii="Times New Roman" w:hAnsi="Times New Roman"/>
          <w:sz w:val="24"/>
          <w:szCs w:val="24"/>
        </w:rPr>
        <w:t>постоји међународни односно европски стандард и сродни документ или је важећи</w:t>
      </w:r>
      <w:r w:rsidR="00BB6789" w:rsidRPr="00F209F5">
        <w:rPr>
          <w:rFonts w:ascii="Times New Roman" w:hAnsi="Times New Roman"/>
          <w:sz w:val="24"/>
          <w:szCs w:val="24"/>
        </w:rPr>
        <w:t xml:space="preserve"> </w:t>
      </w:r>
      <w:r w:rsidR="00B473EB" w:rsidRPr="00F209F5">
        <w:rPr>
          <w:rFonts w:ascii="Times New Roman" w:hAnsi="Times New Roman"/>
          <w:sz w:val="24"/>
          <w:szCs w:val="24"/>
        </w:rPr>
        <w:t xml:space="preserve">међународни односно </w:t>
      </w:r>
      <w:r w:rsidR="00B473EB" w:rsidRPr="00F209F5">
        <w:rPr>
          <w:rFonts w:ascii="Times New Roman" w:hAnsi="Times New Roman"/>
          <w:sz w:val="24"/>
          <w:szCs w:val="24"/>
        </w:rPr>
        <w:lastRenderedPageBreak/>
        <w:t>европски стандард неодговарајући, као основа се могу користити</w:t>
      </w:r>
      <w:r w:rsidR="00BB6789" w:rsidRPr="00F209F5">
        <w:rPr>
          <w:rFonts w:ascii="Times New Roman" w:hAnsi="Times New Roman"/>
          <w:sz w:val="24"/>
          <w:szCs w:val="24"/>
        </w:rPr>
        <w:t xml:space="preserve"> </w:t>
      </w:r>
      <w:r w:rsidR="00B473EB" w:rsidRPr="00F209F5">
        <w:rPr>
          <w:rFonts w:ascii="Times New Roman" w:hAnsi="Times New Roman"/>
          <w:sz w:val="24"/>
          <w:szCs w:val="24"/>
        </w:rPr>
        <w:t>национални стандарди и сродни документи других држава или се могу доносити изворни</w:t>
      </w:r>
      <w:r w:rsidR="00BB6789" w:rsidRPr="00F209F5">
        <w:rPr>
          <w:rFonts w:ascii="Times New Roman" w:hAnsi="Times New Roman"/>
          <w:sz w:val="24"/>
          <w:szCs w:val="24"/>
        </w:rPr>
        <w:t xml:space="preserve"> </w:t>
      </w:r>
      <w:r w:rsidR="00B473EB" w:rsidRPr="00F209F5">
        <w:rPr>
          <w:rFonts w:ascii="Times New Roman" w:hAnsi="Times New Roman"/>
          <w:sz w:val="24"/>
          <w:szCs w:val="24"/>
        </w:rPr>
        <w:t>српски стандарди и сродни документи.</w:t>
      </w:r>
    </w:p>
    <w:p w:rsidR="00B473EB" w:rsidRPr="00254A54" w:rsidRDefault="000B316B" w:rsidP="000B316B">
      <w:pPr>
        <w:tabs>
          <w:tab w:val="left" w:pos="851"/>
        </w:tabs>
        <w:autoSpaceDE w:val="0"/>
        <w:autoSpaceDN w:val="0"/>
        <w:adjustRightInd w:val="0"/>
        <w:spacing w:after="0" w:line="240" w:lineRule="auto"/>
        <w:jc w:val="both"/>
        <w:rPr>
          <w:rFonts w:ascii="Times New Roman" w:hAnsi="Times New Roman"/>
          <w:sz w:val="24"/>
          <w:szCs w:val="24"/>
          <w:lang w:val="sr-Cyrl-RS"/>
        </w:rPr>
      </w:pPr>
      <w:r w:rsidRPr="00254A54">
        <w:rPr>
          <w:rFonts w:ascii="Times New Roman" w:hAnsi="Times New Roman"/>
          <w:sz w:val="24"/>
          <w:szCs w:val="24"/>
        </w:rPr>
        <w:t xml:space="preserve">            </w:t>
      </w:r>
      <w:r w:rsidR="00B473EB" w:rsidRPr="00254A54">
        <w:rPr>
          <w:rFonts w:ascii="Times New Roman" w:hAnsi="Times New Roman"/>
          <w:sz w:val="24"/>
          <w:szCs w:val="24"/>
        </w:rPr>
        <w:t>Обавештење о покретању поступка за доношење српског стандарда, а када је то</w:t>
      </w:r>
      <w:r w:rsidR="00BB6789" w:rsidRPr="00254A54">
        <w:rPr>
          <w:rFonts w:ascii="Times New Roman" w:hAnsi="Times New Roman"/>
          <w:sz w:val="24"/>
          <w:szCs w:val="24"/>
        </w:rPr>
        <w:t xml:space="preserve"> </w:t>
      </w:r>
      <w:r w:rsidR="00B473EB" w:rsidRPr="00254A54">
        <w:rPr>
          <w:rFonts w:ascii="Times New Roman" w:hAnsi="Times New Roman"/>
          <w:sz w:val="24"/>
          <w:szCs w:val="24"/>
        </w:rPr>
        <w:t>неопходно и за доношење сродног документа, као и обавештење о стављању нацрта</w:t>
      </w:r>
      <w:r w:rsidR="00BB6789" w:rsidRPr="00254A54">
        <w:rPr>
          <w:rFonts w:ascii="Times New Roman" w:hAnsi="Times New Roman"/>
          <w:sz w:val="24"/>
          <w:szCs w:val="24"/>
        </w:rPr>
        <w:t xml:space="preserve"> </w:t>
      </w:r>
      <w:r w:rsidR="00A04F20" w:rsidRPr="00254A54">
        <w:rPr>
          <w:rFonts w:ascii="Times New Roman" w:hAnsi="Times New Roman"/>
          <w:sz w:val="24"/>
          <w:szCs w:val="24"/>
          <w:lang w:val="sr-Cyrl-RS"/>
        </w:rPr>
        <w:t xml:space="preserve">српског </w:t>
      </w:r>
      <w:r w:rsidR="00A04F20" w:rsidRPr="00254A54">
        <w:rPr>
          <w:rFonts w:ascii="Times New Roman" w:hAnsi="Times New Roman"/>
          <w:sz w:val="24"/>
          <w:szCs w:val="24"/>
        </w:rPr>
        <w:t>стандарда или сродног документа</w:t>
      </w:r>
      <w:r w:rsidR="00B473EB" w:rsidRPr="00254A54">
        <w:rPr>
          <w:rFonts w:ascii="Times New Roman" w:hAnsi="Times New Roman"/>
          <w:sz w:val="24"/>
          <w:szCs w:val="24"/>
        </w:rPr>
        <w:t xml:space="preserve"> на јавну расправу, Институт објављује у свом гласилу и</w:t>
      </w:r>
      <w:r w:rsidR="00BB6789" w:rsidRPr="00254A54">
        <w:rPr>
          <w:rFonts w:ascii="Times New Roman" w:hAnsi="Times New Roman"/>
          <w:sz w:val="24"/>
          <w:szCs w:val="24"/>
        </w:rPr>
        <w:t xml:space="preserve"> </w:t>
      </w:r>
      <w:r w:rsidR="00B473EB" w:rsidRPr="00254A54">
        <w:rPr>
          <w:rFonts w:ascii="Times New Roman" w:hAnsi="Times New Roman"/>
          <w:sz w:val="24"/>
          <w:szCs w:val="24"/>
        </w:rPr>
        <w:t xml:space="preserve">обезбеђује свим заинтересованим странама приступ тим нацртима </w:t>
      </w:r>
      <w:r w:rsidR="00A04F20" w:rsidRPr="00254A54">
        <w:rPr>
          <w:rFonts w:ascii="Times New Roman" w:hAnsi="Times New Roman"/>
          <w:sz w:val="24"/>
          <w:szCs w:val="24"/>
          <w:lang w:val="sr-Cyrl-RS"/>
        </w:rPr>
        <w:t xml:space="preserve">српских </w:t>
      </w:r>
      <w:r w:rsidR="00B473EB" w:rsidRPr="00254A54">
        <w:rPr>
          <w:rFonts w:ascii="Times New Roman" w:hAnsi="Times New Roman"/>
          <w:sz w:val="24"/>
          <w:szCs w:val="24"/>
        </w:rPr>
        <w:t>стандарда и сродних</w:t>
      </w:r>
      <w:r w:rsidR="00BB6789" w:rsidRPr="00254A54">
        <w:rPr>
          <w:rFonts w:ascii="Times New Roman" w:hAnsi="Times New Roman"/>
          <w:sz w:val="24"/>
          <w:szCs w:val="24"/>
        </w:rPr>
        <w:t xml:space="preserve"> </w:t>
      </w:r>
      <w:r w:rsidR="00B473EB" w:rsidRPr="00254A54">
        <w:rPr>
          <w:rFonts w:ascii="Times New Roman" w:hAnsi="Times New Roman"/>
          <w:sz w:val="24"/>
          <w:szCs w:val="24"/>
        </w:rPr>
        <w:t>документа.</w:t>
      </w:r>
    </w:p>
    <w:p w:rsidR="005E5538" w:rsidRPr="00F209F5" w:rsidRDefault="005E5538" w:rsidP="005E5538">
      <w:pPr>
        <w:autoSpaceDE w:val="0"/>
        <w:autoSpaceDN w:val="0"/>
        <w:adjustRightInd w:val="0"/>
        <w:spacing w:after="0" w:line="240" w:lineRule="auto"/>
        <w:ind w:firstLine="720"/>
        <w:jc w:val="both"/>
        <w:rPr>
          <w:rFonts w:ascii="Times New Roman" w:hAnsi="Times New Roman"/>
          <w:sz w:val="24"/>
          <w:szCs w:val="24"/>
          <w:lang w:val="sr-Cyrl-RS"/>
        </w:rPr>
      </w:pPr>
      <w:r w:rsidRPr="00254A54">
        <w:rPr>
          <w:rFonts w:ascii="Times New Roman" w:hAnsi="Times New Roman"/>
          <w:sz w:val="24"/>
          <w:szCs w:val="24"/>
        </w:rPr>
        <w:t>Институт омогућава учешће свим заинтересованим странама</w:t>
      </w:r>
      <w:r w:rsidR="007C181E" w:rsidRPr="00254A54">
        <w:rPr>
          <w:rFonts w:ascii="Times New Roman" w:hAnsi="Times New Roman"/>
          <w:sz w:val="24"/>
          <w:szCs w:val="24"/>
          <w:lang w:val="sr-Cyrl-RS"/>
        </w:rPr>
        <w:t xml:space="preserve"> у поступку </w:t>
      </w:r>
      <w:r w:rsidR="007C181E" w:rsidRPr="00254A54">
        <w:rPr>
          <w:rFonts w:ascii="Times New Roman" w:hAnsi="Times New Roman"/>
          <w:sz w:val="24"/>
          <w:szCs w:val="24"/>
        </w:rPr>
        <w:t xml:space="preserve"> доношењ</w:t>
      </w:r>
      <w:r w:rsidR="007C181E" w:rsidRPr="00254A54">
        <w:rPr>
          <w:rFonts w:ascii="Times New Roman" w:hAnsi="Times New Roman"/>
          <w:sz w:val="24"/>
          <w:szCs w:val="24"/>
          <w:lang w:val="sr-Cyrl-RS"/>
        </w:rPr>
        <w:t>а</w:t>
      </w:r>
      <w:r w:rsidR="007C181E" w:rsidRPr="00254A54">
        <w:rPr>
          <w:rFonts w:ascii="Times New Roman" w:hAnsi="Times New Roman"/>
          <w:sz w:val="24"/>
          <w:szCs w:val="24"/>
        </w:rPr>
        <w:t xml:space="preserve"> </w:t>
      </w:r>
      <w:r w:rsidR="00A04F20" w:rsidRPr="00254A54">
        <w:rPr>
          <w:rFonts w:ascii="Times New Roman" w:hAnsi="Times New Roman"/>
          <w:sz w:val="24"/>
          <w:szCs w:val="24"/>
          <w:lang w:val="sr-Cyrl-RS"/>
        </w:rPr>
        <w:t xml:space="preserve">српских </w:t>
      </w:r>
      <w:r w:rsidR="007C181E" w:rsidRPr="00254A54">
        <w:rPr>
          <w:rFonts w:ascii="Times New Roman" w:hAnsi="Times New Roman"/>
          <w:sz w:val="24"/>
          <w:szCs w:val="24"/>
        </w:rPr>
        <w:t>стандарда и сродних докумената</w:t>
      </w:r>
      <w:r w:rsidR="00F55341" w:rsidRPr="00254A54">
        <w:rPr>
          <w:rFonts w:ascii="Times New Roman" w:hAnsi="Times New Roman"/>
          <w:sz w:val="24"/>
          <w:szCs w:val="24"/>
          <w:lang w:val="sr-Cyrl-RS"/>
        </w:rPr>
        <w:t xml:space="preserve">, као и </w:t>
      </w:r>
      <w:r w:rsidR="002076AF" w:rsidRPr="00254A54">
        <w:rPr>
          <w:rFonts w:ascii="Times New Roman" w:hAnsi="Times New Roman"/>
          <w:sz w:val="24"/>
          <w:szCs w:val="24"/>
          <w:lang w:val="sr-Cyrl-RS"/>
        </w:rPr>
        <w:t xml:space="preserve">приступ донетим </w:t>
      </w:r>
      <w:r w:rsidR="00A04F20" w:rsidRPr="00254A54">
        <w:rPr>
          <w:rFonts w:ascii="Times New Roman" w:hAnsi="Times New Roman"/>
          <w:sz w:val="24"/>
          <w:szCs w:val="24"/>
          <w:lang w:val="sr-Cyrl-RS"/>
        </w:rPr>
        <w:t xml:space="preserve">српским </w:t>
      </w:r>
      <w:r w:rsidR="002076AF" w:rsidRPr="00254A54">
        <w:rPr>
          <w:rFonts w:ascii="Times New Roman" w:hAnsi="Times New Roman"/>
          <w:sz w:val="24"/>
          <w:szCs w:val="24"/>
          <w:lang w:val="sr-Cyrl-RS"/>
        </w:rPr>
        <w:t>стандардима и сродним документима</w:t>
      </w:r>
      <w:r w:rsidRPr="00F209F5">
        <w:rPr>
          <w:rFonts w:ascii="Times New Roman" w:hAnsi="Times New Roman"/>
          <w:sz w:val="24"/>
          <w:szCs w:val="24"/>
        </w:rPr>
        <w:t>.</w:t>
      </w:r>
    </w:p>
    <w:p w:rsidR="00FE2237" w:rsidRPr="00C25968" w:rsidRDefault="007C181E" w:rsidP="001E230A">
      <w:pPr>
        <w:tabs>
          <w:tab w:val="left" w:pos="709"/>
          <w:tab w:val="left" w:pos="851"/>
        </w:tabs>
        <w:autoSpaceDE w:val="0"/>
        <w:autoSpaceDN w:val="0"/>
        <w:adjustRightInd w:val="0"/>
        <w:spacing w:after="0" w:line="240" w:lineRule="auto"/>
        <w:jc w:val="both"/>
        <w:rPr>
          <w:rFonts w:ascii="Times New Roman" w:hAnsi="Times New Roman"/>
          <w:sz w:val="24"/>
          <w:szCs w:val="24"/>
          <w:lang w:val="sr-Cyrl-CS"/>
        </w:rPr>
      </w:pPr>
      <w:r w:rsidRPr="00C25968">
        <w:rPr>
          <w:rFonts w:ascii="Times New Roman" w:hAnsi="Times New Roman"/>
          <w:sz w:val="24"/>
          <w:szCs w:val="24"/>
        </w:rPr>
        <w:t xml:space="preserve">           </w:t>
      </w:r>
      <w:r w:rsidR="00B473EB" w:rsidRPr="00C25968">
        <w:rPr>
          <w:rFonts w:ascii="Times New Roman" w:hAnsi="Times New Roman"/>
          <w:sz w:val="24"/>
          <w:szCs w:val="24"/>
        </w:rPr>
        <w:t xml:space="preserve">Начин учешћа свих заинтересованих страна у </w:t>
      </w:r>
      <w:r w:rsidR="00F55341" w:rsidRPr="00C25968">
        <w:rPr>
          <w:rFonts w:ascii="Times New Roman" w:hAnsi="Times New Roman"/>
          <w:sz w:val="24"/>
          <w:szCs w:val="24"/>
          <w:lang w:val="sr-Cyrl-RS"/>
        </w:rPr>
        <w:t>поступку</w:t>
      </w:r>
      <w:r w:rsidR="00B473EB" w:rsidRPr="00C25968">
        <w:rPr>
          <w:rFonts w:ascii="Times New Roman" w:hAnsi="Times New Roman"/>
          <w:sz w:val="24"/>
          <w:szCs w:val="24"/>
        </w:rPr>
        <w:t xml:space="preserve"> доношењ</w:t>
      </w:r>
      <w:r w:rsidR="00F55341" w:rsidRPr="00C25968">
        <w:rPr>
          <w:rFonts w:ascii="Times New Roman" w:hAnsi="Times New Roman"/>
          <w:sz w:val="24"/>
          <w:szCs w:val="24"/>
          <w:lang w:val="sr-Cyrl-RS"/>
        </w:rPr>
        <w:t>а</w:t>
      </w:r>
      <w:r w:rsidR="00B473EB" w:rsidRPr="00C25968">
        <w:rPr>
          <w:rFonts w:ascii="Times New Roman" w:hAnsi="Times New Roman"/>
          <w:sz w:val="24"/>
          <w:szCs w:val="24"/>
        </w:rPr>
        <w:t xml:space="preserve"> </w:t>
      </w:r>
      <w:r w:rsidR="00A04F20" w:rsidRPr="00C25968">
        <w:rPr>
          <w:rFonts w:ascii="Times New Roman" w:hAnsi="Times New Roman"/>
          <w:sz w:val="24"/>
          <w:szCs w:val="24"/>
          <w:lang w:val="sr-Cyrl-RS"/>
        </w:rPr>
        <w:t xml:space="preserve">српских </w:t>
      </w:r>
      <w:r w:rsidR="00B473EB" w:rsidRPr="00C25968">
        <w:rPr>
          <w:rFonts w:ascii="Times New Roman" w:hAnsi="Times New Roman"/>
          <w:sz w:val="24"/>
          <w:szCs w:val="24"/>
        </w:rPr>
        <w:t>стандарда и</w:t>
      </w:r>
      <w:r w:rsidR="00BB6789" w:rsidRPr="00C25968">
        <w:rPr>
          <w:rFonts w:ascii="Times New Roman" w:hAnsi="Times New Roman"/>
          <w:sz w:val="24"/>
          <w:szCs w:val="24"/>
        </w:rPr>
        <w:t xml:space="preserve"> </w:t>
      </w:r>
      <w:r w:rsidR="00B473EB" w:rsidRPr="00C25968">
        <w:rPr>
          <w:rFonts w:ascii="Times New Roman" w:hAnsi="Times New Roman"/>
          <w:sz w:val="24"/>
          <w:szCs w:val="24"/>
        </w:rPr>
        <w:t>сродних докумената</w:t>
      </w:r>
      <w:r w:rsidR="00F55341" w:rsidRPr="00C25968">
        <w:rPr>
          <w:rFonts w:ascii="Times New Roman" w:hAnsi="Times New Roman"/>
          <w:sz w:val="24"/>
          <w:szCs w:val="24"/>
          <w:lang w:val="sr-Cyrl-RS"/>
        </w:rPr>
        <w:t xml:space="preserve"> и приступ донетим </w:t>
      </w:r>
      <w:r w:rsidR="00A04F20" w:rsidRPr="00C25968">
        <w:rPr>
          <w:rFonts w:ascii="Times New Roman" w:hAnsi="Times New Roman"/>
          <w:sz w:val="24"/>
          <w:szCs w:val="24"/>
          <w:lang w:val="sr-Cyrl-RS"/>
        </w:rPr>
        <w:t xml:space="preserve">српским </w:t>
      </w:r>
      <w:r w:rsidR="00F55341" w:rsidRPr="00C25968">
        <w:rPr>
          <w:rFonts w:ascii="Times New Roman" w:hAnsi="Times New Roman"/>
          <w:sz w:val="24"/>
          <w:szCs w:val="24"/>
          <w:lang w:val="sr-Cyrl-RS"/>
        </w:rPr>
        <w:t>стандардима и сродним документима</w:t>
      </w:r>
      <w:r w:rsidR="00B473EB" w:rsidRPr="00C25968">
        <w:rPr>
          <w:rFonts w:ascii="Times New Roman" w:hAnsi="Times New Roman"/>
          <w:sz w:val="24"/>
          <w:szCs w:val="24"/>
        </w:rPr>
        <w:t>, као и</w:t>
      </w:r>
      <w:r w:rsidR="00F55341" w:rsidRPr="00C25968">
        <w:rPr>
          <w:rFonts w:ascii="Times New Roman" w:hAnsi="Times New Roman"/>
          <w:sz w:val="24"/>
          <w:szCs w:val="24"/>
          <w:lang w:val="sr-Cyrl-RS"/>
        </w:rPr>
        <w:t xml:space="preserve"> подстицаји и олакшице </w:t>
      </w:r>
      <w:r w:rsidR="00901C87" w:rsidRPr="00C25968">
        <w:rPr>
          <w:rFonts w:ascii="Times New Roman" w:hAnsi="Times New Roman"/>
          <w:sz w:val="24"/>
          <w:szCs w:val="24"/>
          <w:lang w:val="sr-Cyrl-CS"/>
        </w:rPr>
        <w:t>за</w:t>
      </w:r>
      <w:r w:rsidR="00D43366" w:rsidRPr="00C25968">
        <w:rPr>
          <w:rFonts w:ascii="Times New Roman" w:hAnsi="Times New Roman"/>
          <w:sz w:val="24"/>
          <w:szCs w:val="24"/>
          <w:lang w:val="sr-Cyrl-RS"/>
        </w:rPr>
        <w:t xml:space="preserve"> </w:t>
      </w:r>
      <w:r w:rsidR="00D43366" w:rsidRPr="00C25968">
        <w:rPr>
          <w:rFonts w:ascii="Times New Roman" w:hAnsi="Times New Roman"/>
          <w:sz w:val="24"/>
          <w:szCs w:val="24"/>
        </w:rPr>
        <w:t>мал</w:t>
      </w:r>
      <w:r w:rsidR="00901C87" w:rsidRPr="00C25968">
        <w:rPr>
          <w:rFonts w:ascii="Times New Roman" w:hAnsi="Times New Roman"/>
          <w:sz w:val="24"/>
          <w:szCs w:val="24"/>
          <w:lang w:val="sr-Cyrl-CS"/>
        </w:rPr>
        <w:t>а</w:t>
      </w:r>
      <w:r w:rsidR="00D43366" w:rsidRPr="00C25968">
        <w:rPr>
          <w:rFonts w:ascii="Times New Roman" w:hAnsi="Times New Roman"/>
          <w:sz w:val="24"/>
          <w:szCs w:val="24"/>
        </w:rPr>
        <w:t xml:space="preserve"> и средњ</w:t>
      </w:r>
      <w:r w:rsidR="00901C87" w:rsidRPr="00C25968">
        <w:rPr>
          <w:rFonts w:ascii="Times New Roman" w:hAnsi="Times New Roman"/>
          <w:sz w:val="24"/>
          <w:szCs w:val="24"/>
          <w:lang w:val="sr-Cyrl-CS"/>
        </w:rPr>
        <w:t>а</w:t>
      </w:r>
      <w:r w:rsidR="00D43366" w:rsidRPr="00C25968">
        <w:rPr>
          <w:rFonts w:ascii="Times New Roman" w:hAnsi="Times New Roman"/>
          <w:sz w:val="24"/>
          <w:szCs w:val="24"/>
        </w:rPr>
        <w:t xml:space="preserve"> привредн</w:t>
      </w:r>
      <w:r w:rsidR="00901C87" w:rsidRPr="00C25968">
        <w:rPr>
          <w:rFonts w:ascii="Times New Roman" w:hAnsi="Times New Roman"/>
          <w:sz w:val="24"/>
          <w:szCs w:val="24"/>
          <w:lang w:val="sr-Cyrl-CS"/>
        </w:rPr>
        <w:t>а</w:t>
      </w:r>
      <w:r w:rsidR="00D43366" w:rsidRPr="00C25968">
        <w:rPr>
          <w:rFonts w:ascii="Times New Roman" w:hAnsi="Times New Roman"/>
          <w:sz w:val="24"/>
          <w:szCs w:val="24"/>
        </w:rPr>
        <w:t xml:space="preserve"> друштв</w:t>
      </w:r>
      <w:r w:rsidR="00D43366" w:rsidRPr="00C25968">
        <w:rPr>
          <w:rFonts w:ascii="Times New Roman" w:hAnsi="Times New Roman"/>
          <w:sz w:val="24"/>
          <w:szCs w:val="24"/>
          <w:lang w:val="sr-Cyrl-RS"/>
        </w:rPr>
        <w:t xml:space="preserve">а </w:t>
      </w:r>
      <w:r w:rsidR="00D43366" w:rsidRPr="00C25968">
        <w:rPr>
          <w:rFonts w:ascii="Times New Roman" w:hAnsi="Times New Roman"/>
          <w:sz w:val="24"/>
          <w:szCs w:val="24"/>
        </w:rPr>
        <w:t>и предузетни</w:t>
      </w:r>
      <w:r w:rsidR="00D43366" w:rsidRPr="00C25968">
        <w:rPr>
          <w:rFonts w:ascii="Times New Roman" w:hAnsi="Times New Roman"/>
          <w:sz w:val="24"/>
          <w:szCs w:val="24"/>
          <w:lang w:val="sr-Cyrl-RS"/>
        </w:rPr>
        <w:t>к</w:t>
      </w:r>
      <w:r w:rsidR="00901C87" w:rsidRPr="00C25968">
        <w:rPr>
          <w:rFonts w:ascii="Times New Roman" w:hAnsi="Times New Roman"/>
          <w:sz w:val="24"/>
          <w:szCs w:val="24"/>
          <w:lang w:val="sr-Cyrl-CS"/>
        </w:rPr>
        <w:t>е</w:t>
      </w:r>
      <w:r w:rsidR="00D43366" w:rsidRPr="00C25968">
        <w:rPr>
          <w:rFonts w:ascii="Times New Roman" w:hAnsi="Times New Roman"/>
          <w:sz w:val="24"/>
          <w:szCs w:val="24"/>
        </w:rPr>
        <w:t>, удружењ</w:t>
      </w:r>
      <w:r w:rsidR="00D43366" w:rsidRPr="00C25968">
        <w:rPr>
          <w:rFonts w:ascii="Times New Roman" w:hAnsi="Times New Roman"/>
          <w:sz w:val="24"/>
          <w:szCs w:val="24"/>
          <w:lang w:val="sr-Cyrl-RS"/>
        </w:rPr>
        <w:t>а</w:t>
      </w:r>
      <w:r w:rsidR="00D43366" w:rsidRPr="00C25968">
        <w:rPr>
          <w:rFonts w:ascii="Times New Roman" w:hAnsi="Times New Roman"/>
          <w:sz w:val="24"/>
          <w:szCs w:val="24"/>
        </w:rPr>
        <w:t xml:space="preserve"> потрошача</w:t>
      </w:r>
      <w:r w:rsidR="00D43366" w:rsidRPr="00C25968">
        <w:rPr>
          <w:rFonts w:ascii="Times New Roman" w:hAnsi="Times New Roman"/>
          <w:sz w:val="24"/>
          <w:szCs w:val="24"/>
          <w:lang w:val="sr-Cyrl-RS"/>
        </w:rPr>
        <w:t xml:space="preserve"> и</w:t>
      </w:r>
      <w:r w:rsidR="00D43366" w:rsidRPr="00C25968">
        <w:rPr>
          <w:rFonts w:ascii="Times New Roman" w:hAnsi="Times New Roman"/>
          <w:sz w:val="24"/>
          <w:szCs w:val="24"/>
        </w:rPr>
        <w:t xml:space="preserve"> невладин</w:t>
      </w:r>
      <w:r w:rsidR="00901C87" w:rsidRPr="00C25968">
        <w:rPr>
          <w:rFonts w:ascii="Times New Roman" w:hAnsi="Times New Roman"/>
          <w:sz w:val="24"/>
          <w:szCs w:val="24"/>
          <w:lang w:val="sr-Cyrl-CS"/>
        </w:rPr>
        <w:t>е</w:t>
      </w:r>
      <w:r w:rsidR="00D43366" w:rsidRPr="00C25968">
        <w:rPr>
          <w:rFonts w:ascii="Times New Roman" w:hAnsi="Times New Roman"/>
          <w:sz w:val="24"/>
          <w:szCs w:val="24"/>
        </w:rPr>
        <w:t xml:space="preserve"> организациј</w:t>
      </w:r>
      <w:r w:rsidR="00901C87" w:rsidRPr="00C25968">
        <w:rPr>
          <w:rFonts w:ascii="Times New Roman" w:hAnsi="Times New Roman"/>
          <w:sz w:val="24"/>
          <w:szCs w:val="24"/>
          <w:lang w:val="sr-Cyrl-CS"/>
        </w:rPr>
        <w:t xml:space="preserve">е, </w:t>
      </w:r>
      <w:r w:rsidR="00F55341" w:rsidRPr="00C25968">
        <w:rPr>
          <w:rFonts w:ascii="Times New Roman" w:hAnsi="Times New Roman"/>
          <w:sz w:val="24"/>
          <w:szCs w:val="24"/>
        </w:rPr>
        <w:t xml:space="preserve">ближе се уређује </w:t>
      </w:r>
      <w:r w:rsidR="00CD4304" w:rsidRPr="00C25968">
        <w:rPr>
          <w:rFonts w:ascii="Times New Roman" w:hAnsi="Times New Roman"/>
          <w:sz w:val="24"/>
          <w:szCs w:val="24"/>
          <w:lang w:val="sr-Cyrl-CS"/>
        </w:rPr>
        <w:t>општим</w:t>
      </w:r>
      <w:r w:rsidR="00F55341" w:rsidRPr="00C25968">
        <w:rPr>
          <w:rFonts w:ascii="Times New Roman" w:hAnsi="Times New Roman"/>
          <w:sz w:val="24"/>
          <w:szCs w:val="24"/>
        </w:rPr>
        <w:t xml:space="preserve"> актом Института.</w:t>
      </w:r>
    </w:p>
    <w:p w:rsidR="00B473EB" w:rsidRPr="00C25968" w:rsidRDefault="00FE2237" w:rsidP="001E230A">
      <w:pPr>
        <w:tabs>
          <w:tab w:val="left" w:pos="709"/>
          <w:tab w:val="left" w:pos="851"/>
        </w:tabs>
        <w:autoSpaceDE w:val="0"/>
        <w:autoSpaceDN w:val="0"/>
        <w:adjustRightInd w:val="0"/>
        <w:spacing w:after="0" w:line="240" w:lineRule="auto"/>
        <w:jc w:val="both"/>
        <w:rPr>
          <w:rFonts w:ascii="Times New Roman" w:hAnsi="Times New Roman"/>
          <w:sz w:val="24"/>
          <w:szCs w:val="24"/>
          <w:lang w:val="sr-Cyrl-CS"/>
        </w:rPr>
      </w:pPr>
      <w:r w:rsidRPr="00C25968">
        <w:rPr>
          <w:rFonts w:ascii="Times New Roman" w:hAnsi="Times New Roman"/>
          <w:sz w:val="24"/>
          <w:szCs w:val="24"/>
          <w:lang w:val="sr-Cyrl-CS"/>
        </w:rPr>
        <w:t xml:space="preserve">           Институт размењује најбоље праксе са циљем подстицања учешћа малих и средњих </w:t>
      </w:r>
      <w:r w:rsidR="002C2C97" w:rsidRPr="00C25968">
        <w:rPr>
          <w:rFonts w:ascii="Times New Roman" w:hAnsi="Times New Roman"/>
          <w:sz w:val="24"/>
          <w:szCs w:val="24"/>
        </w:rPr>
        <w:t>привредн</w:t>
      </w:r>
      <w:r w:rsidR="002C2C97" w:rsidRPr="00C25968">
        <w:rPr>
          <w:rFonts w:ascii="Times New Roman" w:hAnsi="Times New Roman"/>
          <w:sz w:val="24"/>
          <w:szCs w:val="24"/>
          <w:lang w:val="sr-Cyrl-CS"/>
        </w:rPr>
        <w:t>и</w:t>
      </w:r>
      <w:r w:rsidR="002C2C97" w:rsidRPr="00C25968">
        <w:rPr>
          <w:rFonts w:ascii="Times New Roman" w:hAnsi="Times New Roman"/>
          <w:sz w:val="24"/>
          <w:szCs w:val="24"/>
          <w:lang w:val="sr-Cyrl-RS"/>
        </w:rPr>
        <w:t>х</w:t>
      </w:r>
      <w:r w:rsidR="002C2C97" w:rsidRPr="00C25968">
        <w:rPr>
          <w:rFonts w:ascii="Times New Roman" w:hAnsi="Times New Roman"/>
          <w:sz w:val="24"/>
          <w:szCs w:val="24"/>
        </w:rPr>
        <w:t xml:space="preserve"> друшт</w:t>
      </w:r>
      <w:r w:rsidR="002C2C97" w:rsidRPr="00C25968">
        <w:rPr>
          <w:rFonts w:ascii="Times New Roman" w:hAnsi="Times New Roman"/>
          <w:sz w:val="24"/>
          <w:szCs w:val="24"/>
          <w:lang w:val="sr-Cyrl-RS"/>
        </w:rPr>
        <w:t>а</w:t>
      </w:r>
      <w:r w:rsidR="002C2C97" w:rsidRPr="00C25968">
        <w:rPr>
          <w:rFonts w:ascii="Times New Roman" w:hAnsi="Times New Roman"/>
          <w:sz w:val="24"/>
          <w:szCs w:val="24"/>
        </w:rPr>
        <w:t>в</w:t>
      </w:r>
      <w:r w:rsidR="002C2C97" w:rsidRPr="00C25968">
        <w:rPr>
          <w:rFonts w:ascii="Times New Roman" w:hAnsi="Times New Roman"/>
          <w:sz w:val="24"/>
          <w:szCs w:val="24"/>
          <w:lang w:val="sr-Cyrl-RS"/>
        </w:rPr>
        <w:t xml:space="preserve">а </w:t>
      </w:r>
      <w:r w:rsidRPr="00C25968">
        <w:rPr>
          <w:rFonts w:ascii="Times New Roman" w:hAnsi="Times New Roman"/>
          <w:sz w:val="24"/>
          <w:szCs w:val="24"/>
          <w:lang w:val="sr-Cyrl-CS"/>
        </w:rPr>
        <w:t xml:space="preserve"> у активностима </w:t>
      </w:r>
      <w:r w:rsidRPr="00237AC5">
        <w:rPr>
          <w:rFonts w:ascii="Times New Roman" w:hAnsi="Times New Roman"/>
          <w:sz w:val="24"/>
          <w:szCs w:val="24"/>
          <w:lang w:val="sr-Cyrl-CS"/>
        </w:rPr>
        <w:t>стандардизације.</w:t>
      </w:r>
      <w:r w:rsidR="009B0242" w:rsidRPr="00237AC5">
        <w:rPr>
          <w:rFonts w:ascii="Times New Roman" w:hAnsi="Times New Roman"/>
          <w:sz w:val="24"/>
          <w:szCs w:val="24"/>
          <w:lang w:val="sr-Cyrl-CS"/>
        </w:rPr>
        <w:t>”</w:t>
      </w:r>
    </w:p>
    <w:p w:rsidR="00F93174" w:rsidRPr="00C25968" w:rsidRDefault="00F93174" w:rsidP="000355F6">
      <w:pPr>
        <w:autoSpaceDE w:val="0"/>
        <w:autoSpaceDN w:val="0"/>
        <w:adjustRightInd w:val="0"/>
        <w:spacing w:after="0" w:line="240" w:lineRule="auto"/>
        <w:jc w:val="both"/>
        <w:rPr>
          <w:rFonts w:ascii="Times New Roman" w:hAnsi="Times New Roman"/>
          <w:sz w:val="24"/>
          <w:szCs w:val="24"/>
        </w:rPr>
      </w:pPr>
    </w:p>
    <w:p w:rsidR="00B473EB" w:rsidRPr="0053480A" w:rsidRDefault="00B473EB" w:rsidP="000355F6">
      <w:pPr>
        <w:autoSpaceDE w:val="0"/>
        <w:autoSpaceDN w:val="0"/>
        <w:adjustRightInd w:val="0"/>
        <w:spacing w:after="0" w:line="240" w:lineRule="auto"/>
        <w:jc w:val="center"/>
        <w:rPr>
          <w:rFonts w:ascii="Times New Roman" w:hAnsi="Times New Roman"/>
          <w:sz w:val="24"/>
          <w:szCs w:val="24"/>
        </w:rPr>
      </w:pPr>
      <w:r w:rsidRPr="0053480A">
        <w:rPr>
          <w:rFonts w:ascii="Times New Roman" w:hAnsi="Times New Roman"/>
          <w:sz w:val="24"/>
          <w:szCs w:val="24"/>
        </w:rPr>
        <w:t xml:space="preserve">Члан </w:t>
      </w:r>
      <w:r w:rsidR="00562FAB" w:rsidRPr="0053480A">
        <w:rPr>
          <w:rFonts w:ascii="Times New Roman" w:hAnsi="Times New Roman"/>
          <w:sz w:val="24"/>
          <w:szCs w:val="24"/>
        </w:rPr>
        <w:t>9</w:t>
      </w:r>
      <w:r w:rsidRPr="0053480A">
        <w:rPr>
          <w:rFonts w:ascii="Times New Roman" w:hAnsi="Times New Roman"/>
          <w:sz w:val="24"/>
          <w:szCs w:val="24"/>
        </w:rPr>
        <w:t>.</w:t>
      </w:r>
    </w:p>
    <w:p w:rsidR="00F93174" w:rsidRPr="00F209F5" w:rsidRDefault="00F93174" w:rsidP="000355F6">
      <w:pPr>
        <w:autoSpaceDE w:val="0"/>
        <w:autoSpaceDN w:val="0"/>
        <w:adjustRightInd w:val="0"/>
        <w:spacing w:after="0" w:line="240" w:lineRule="auto"/>
        <w:jc w:val="center"/>
        <w:rPr>
          <w:rFonts w:ascii="Times New Roman" w:hAnsi="Times New Roman"/>
          <w:sz w:val="24"/>
          <w:szCs w:val="24"/>
        </w:rPr>
      </w:pPr>
    </w:p>
    <w:p w:rsidR="00B473EB" w:rsidRPr="00F209F5" w:rsidRDefault="000B316B" w:rsidP="001E230A">
      <w:pPr>
        <w:tabs>
          <w:tab w:val="left" w:pos="709"/>
          <w:tab w:val="left" w:pos="851"/>
        </w:tabs>
        <w:autoSpaceDE w:val="0"/>
        <w:autoSpaceDN w:val="0"/>
        <w:adjustRightInd w:val="0"/>
        <w:spacing w:after="0" w:line="240" w:lineRule="auto"/>
        <w:rPr>
          <w:rFonts w:ascii="Times New Roman" w:hAnsi="Times New Roman"/>
          <w:sz w:val="24"/>
          <w:szCs w:val="24"/>
        </w:rPr>
      </w:pPr>
      <w:r w:rsidRPr="00F209F5">
        <w:rPr>
          <w:rFonts w:ascii="Times New Roman" w:hAnsi="Times New Roman"/>
          <w:sz w:val="24"/>
          <w:szCs w:val="24"/>
        </w:rPr>
        <w:t xml:space="preserve">            </w:t>
      </w:r>
      <w:r w:rsidR="00B473EB" w:rsidRPr="00F209F5">
        <w:rPr>
          <w:rFonts w:ascii="Times New Roman" w:hAnsi="Times New Roman"/>
          <w:sz w:val="24"/>
          <w:szCs w:val="24"/>
        </w:rPr>
        <w:t>Члан 13. мења се и гласи:</w:t>
      </w:r>
    </w:p>
    <w:p w:rsidR="00B473EB" w:rsidRPr="00F209F5" w:rsidRDefault="00B473EB" w:rsidP="000355F6">
      <w:pPr>
        <w:autoSpaceDE w:val="0"/>
        <w:autoSpaceDN w:val="0"/>
        <w:adjustRightInd w:val="0"/>
        <w:spacing w:after="0" w:line="240" w:lineRule="auto"/>
        <w:jc w:val="center"/>
        <w:rPr>
          <w:rFonts w:ascii="Times New Roman" w:hAnsi="Times New Roman"/>
          <w:sz w:val="24"/>
          <w:szCs w:val="24"/>
        </w:rPr>
      </w:pPr>
      <w:r w:rsidRPr="00F209F5">
        <w:rPr>
          <w:rFonts w:ascii="Times New Roman" w:hAnsi="Times New Roman"/>
          <w:sz w:val="24"/>
          <w:szCs w:val="24"/>
        </w:rPr>
        <w:t>„Члан 13</w:t>
      </w:r>
      <w:r w:rsidR="000B316B" w:rsidRPr="00F209F5">
        <w:rPr>
          <w:rFonts w:ascii="Times New Roman" w:hAnsi="Times New Roman"/>
          <w:sz w:val="24"/>
          <w:szCs w:val="24"/>
        </w:rPr>
        <w:t>.</w:t>
      </w:r>
    </w:p>
    <w:p w:rsidR="000B316B" w:rsidRPr="00F209F5" w:rsidRDefault="000B316B" w:rsidP="000B316B">
      <w:pPr>
        <w:tabs>
          <w:tab w:val="left" w:pos="851"/>
        </w:tabs>
        <w:autoSpaceDE w:val="0"/>
        <w:autoSpaceDN w:val="0"/>
        <w:adjustRightInd w:val="0"/>
        <w:spacing w:after="0" w:line="240" w:lineRule="auto"/>
        <w:jc w:val="center"/>
        <w:rPr>
          <w:rFonts w:ascii="Times New Roman" w:hAnsi="Times New Roman"/>
          <w:sz w:val="24"/>
          <w:szCs w:val="24"/>
        </w:rPr>
      </w:pPr>
    </w:p>
    <w:p w:rsidR="00B473EB" w:rsidRPr="00F209F5" w:rsidRDefault="000B316B" w:rsidP="000355F6">
      <w:pPr>
        <w:autoSpaceDE w:val="0"/>
        <w:autoSpaceDN w:val="0"/>
        <w:adjustRightInd w:val="0"/>
        <w:spacing w:after="0" w:line="240" w:lineRule="auto"/>
        <w:jc w:val="both"/>
        <w:rPr>
          <w:rFonts w:ascii="Times New Roman" w:hAnsi="Times New Roman"/>
          <w:sz w:val="24"/>
          <w:szCs w:val="24"/>
        </w:rPr>
      </w:pPr>
      <w:r w:rsidRPr="00254A54">
        <w:rPr>
          <w:rFonts w:ascii="Times New Roman" w:hAnsi="Times New Roman"/>
          <w:sz w:val="24"/>
          <w:szCs w:val="24"/>
        </w:rPr>
        <w:t xml:space="preserve">             </w:t>
      </w:r>
      <w:r w:rsidR="00B473EB" w:rsidRPr="00254A54">
        <w:rPr>
          <w:rFonts w:ascii="Times New Roman" w:hAnsi="Times New Roman"/>
          <w:sz w:val="24"/>
          <w:szCs w:val="24"/>
        </w:rPr>
        <w:t xml:space="preserve">Акт којим се проглашава да је </w:t>
      </w:r>
      <w:r w:rsidR="00FC26FE" w:rsidRPr="00254A54">
        <w:rPr>
          <w:rFonts w:ascii="Times New Roman" w:hAnsi="Times New Roman"/>
          <w:sz w:val="24"/>
          <w:szCs w:val="24"/>
          <w:lang w:val="sr-Cyrl-RS"/>
        </w:rPr>
        <w:t xml:space="preserve">српски </w:t>
      </w:r>
      <w:r w:rsidR="00B473EB" w:rsidRPr="00254A54">
        <w:rPr>
          <w:rFonts w:ascii="Times New Roman" w:hAnsi="Times New Roman"/>
          <w:sz w:val="24"/>
          <w:szCs w:val="24"/>
        </w:rPr>
        <w:t>стандард</w:t>
      </w:r>
      <w:r w:rsidR="00B473EB" w:rsidRPr="00F209F5">
        <w:rPr>
          <w:rFonts w:ascii="Times New Roman" w:hAnsi="Times New Roman"/>
          <w:sz w:val="24"/>
          <w:szCs w:val="24"/>
        </w:rPr>
        <w:t xml:space="preserve"> или сродни документ донет, као и акт о</w:t>
      </w:r>
      <w:r w:rsidR="00F93174" w:rsidRPr="00F209F5">
        <w:rPr>
          <w:rFonts w:ascii="Times New Roman" w:hAnsi="Times New Roman"/>
          <w:sz w:val="24"/>
          <w:szCs w:val="24"/>
        </w:rPr>
        <w:t xml:space="preserve"> </w:t>
      </w:r>
      <w:r w:rsidR="00B473EB" w:rsidRPr="00F209F5">
        <w:rPr>
          <w:rFonts w:ascii="Times New Roman" w:hAnsi="Times New Roman"/>
          <w:sz w:val="24"/>
          <w:szCs w:val="24"/>
        </w:rPr>
        <w:t>повлачењу српског стандарда или сродног документа доноси директор Института.</w:t>
      </w:r>
    </w:p>
    <w:p w:rsidR="00B473EB" w:rsidRPr="00F209F5" w:rsidRDefault="000B316B" w:rsidP="000355F6">
      <w:pPr>
        <w:autoSpaceDE w:val="0"/>
        <w:autoSpaceDN w:val="0"/>
        <w:adjustRightInd w:val="0"/>
        <w:spacing w:after="0" w:line="240" w:lineRule="auto"/>
        <w:jc w:val="both"/>
        <w:rPr>
          <w:rFonts w:ascii="Times New Roman" w:hAnsi="Times New Roman"/>
          <w:sz w:val="24"/>
          <w:szCs w:val="24"/>
        </w:rPr>
      </w:pPr>
      <w:r w:rsidRPr="00F209F5">
        <w:rPr>
          <w:rFonts w:ascii="Times New Roman" w:hAnsi="Times New Roman"/>
          <w:sz w:val="24"/>
          <w:szCs w:val="24"/>
        </w:rPr>
        <w:t xml:space="preserve">             </w:t>
      </w:r>
      <w:r w:rsidR="00B473EB" w:rsidRPr="00F209F5">
        <w:rPr>
          <w:rFonts w:ascii="Times New Roman" w:hAnsi="Times New Roman"/>
          <w:sz w:val="24"/>
          <w:szCs w:val="24"/>
        </w:rPr>
        <w:t>Информација о доношењу и повлачењу српских стандарда и сродних докумената са</w:t>
      </w:r>
      <w:r w:rsidR="00FE2B6F" w:rsidRPr="00F209F5">
        <w:rPr>
          <w:rFonts w:ascii="Times New Roman" w:hAnsi="Times New Roman"/>
          <w:sz w:val="24"/>
          <w:szCs w:val="24"/>
          <w:lang w:val="sr-Cyrl-RS"/>
        </w:rPr>
        <w:t xml:space="preserve"> </w:t>
      </w:r>
      <w:r w:rsidR="00B473EB" w:rsidRPr="00F209F5">
        <w:rPr>
          <w:rFonts w:ascii="Times New Roman" w:hAnsi="Times New Roman"/>
          <w:sz w:val="24"/>
          <w:szCs w:val="24"/>
        </w:rPr>
        <w:t>датумом доношења и бројем акта из става 1. овог члана, објављује се у гласилу Института и</w:t>
      </w:r>
      <w:r w:rsidR="00F93174" w:rsidRPr="00F209F5">
        <w:rPr>
          <w:rFonts w:ascii="Times New Roman" w:hAnsi="Times New Roman"/>
          <w:sz w:val="24"/>
          <w:szCs w:val="24"/>
        </w:rPr>
        <w:t xml:space="preserve"> </w:t>
      </w:r>
      <w:r w:rsidR="00B473EB" w:rsidRPr="00F209F5">
        <w:rPr>
          <w:rFonts w:ascii="Times New Roman" w:hAnsi="Times New Roman"/>
          <w:sz w:val="24"/>
          <w:szCs w:val="24"/>
        </w:rPr>
        <w:t>на интернет страници Института.”</w:t>
      </w:r>
    </w:p>
    <w:p w:rsidR="00E3607E" w:rsidRPr="00F209F5" w:rsidRDefault="00E3607E" w:rsidP="000355F6">
      <w:pPr>
        <w:autoSpaceDE w:val="0"/>
        <w:autoSpaceDN w:val="0"/>
        <w:adjustRightInd w:val="0"/>
        <w:spacing w:after="0" w:line="240" w:lineRule="auto"/>
        <w:jc w:val="center"/>
        <w:rPr>
          <w:rFonts w:ascii="Times New Roman" w:hAnsi="Times New Roman"/>
          <w:sz w:val="24"/>
          <w:szCs w:val="24"/>
          <w:lang w:val="sr-Cyrl-RS"/>
        </w:rPr>
      </w:pPr>
    </w:p>
    <w:p w:rsidR="00B473EB" w:rsidRPr="0053480A" w:rsidRDefault="00B473EB" w:rsidP="000355F6">
      <w:pPr>
        <w:autoSpaceDE w:val="0"/>
        <w:autoSpaceDN w:val="0"/>
        <w:adjustRightInd w:val="0"/>
        <w:spacing w:after="0" w:line="240" w:lineRule="auto"/>
        <w:jc w:val="center"/>
        <w:rPr>
          <w:rFonts w:ascii="Times New Roman" w:hAnsi="Times New Roman"/>
          <w:sz w:val="24"/>
          <w:szCs w:val="24"/>
        </w:rPr>
      </w:pPr>
      <w:r w:rsidRPr="0053480A">
        <w:rPr>
          <w:rFonts w:ascii="Times New Roman" w:hAnsi="Times New Roman"/>
          <w:sz w:val="24"/>
          <w:szCs w:val="24"/>
        </w:rPr>
        <w:t xml:space="preserve">Члан </w:t>
      </w:r>
      <w:r w:rsidR="00562FAB" w:rsidRPr="0053480A">
        <w:rPr>
          <w:rFonts w:ascii="Times New Roman" w:hAnsi="Times New Roman"/>
          <w:sz w:val="24"/>
          <w:szCs w:val="24"/>
        </w:rPr>
        <w:t>10</w:t>
      </w:r>
      <w:r w:rsidRPr="0053480A">
        <w:rPr>
          <w:rFonts w:ascii="Times New Roman" w:hAnsi="Times New Roman"/>
          <w:sz w:val="24"/>
          <w:szCs w:val="24"/>
        </w:rPr>
        <w:t>.</w:t>
      </w:r>
    </w:p>
    <w:p w:rsidR="000B316B" w:rsidRPr="00F209F5" w:rsidRDefault="000B316B" w:rsidP="000B316B">
      <w:pPr>
        <w:tabs>
          <w:tab w:val="left" w:pos="851"/>
        </w:tabs>
        <w:autoSpaceDE w:val="0"/>
        <w:autoSpaceDN w:val="0"/>
        <w:adjustRightInd w:val="0"/>
        <w:spacing w:after="0" w:line="240" w:lineRule="auto"/>
        <w:jc w:val="center"/>
        <w:rPr>
          <w:rFonts w:ascii="Times New Roman" w:hAnsi="Times New Roman"/>
          <w:sz w:val="24"/>
          <w:szCs w:val="24"/>
        </w:rPr>
      </w:pPr>
    </w:p>
    <w:p w:rsidR="00B473EB" w:rsidRPr="00077986" w:rsidRDefault="000B316B" w:rsidP="000B316B">
      <w:pPr>
        <w:tabs>
          <w:tab w:val="left" w:pos="851"/>
        </w:tabs>
        <w:autoSpaceDE w:val="0"/>
        <w:autoSpaceDN w:val="0"/>
        <w:adjustRightInd w:val="0"/>
        <w:spacing w:after="0" w:line="240" w:lineRule="auto"/>
        <w:jc w:val="both"/>
        <w:rPr>
          <w:rFonts w:ascii="Times New Roman" w:hAnsi="Times New Roman"/>
          <w:sz w:val="24"/>
          <w:szCs w:val="24"/>
        </w:rPr>
      </w:pPr>
      <w:r w:rsidRPr="005363F5">
        <w:rPr>
          <w:rFonts w:ascii="Times New Roman" w:hAnsi="Times New Roman"/>
          <w:b/>
          <w:color w:val="FF0000"/>
          <w:sz w:val="24"/>
          <w:szCs w:val="24"/>
        </w:rPr>
        <w:t xml:space="preserve">            </w:t>
      </w:r>
      <w:r w:rsidR="00B473EB" w:rsidRPr="00077986">
        <w:rPr>
          <w:rFonts w:ascii="Times New Roman" w:hAnsi="Times New Roman"/>
          <w:sz w:val="24"/>
          <w:szCs w:val="24"/>
        </w:rPr>
        <w:t xml:space="preserve">У члану 15. став 2. речи: „став 2.”, замењују се речима: „став </w:t>
      </w:r>
      <w:r w:rsidR="00423710" w:rsidRPr="00077986">
        <w:rPr>
          <w:rFonts w:ascii="Times New Roman" w:hAnsi="Times New Roman"/>
          <w:sz w:val="24"/>
          <w:szCs w:val="24"/>
        </w:rPr>
        <w:t>6</w:t>
      </w:r>
      <w:r w:rsidR="009B0242" w:rsidRPr="00237AC5">
        <w:rPr>
          <w:rFonts w:ascii="Times New Roman" w:hAnsi="Times New Roman"/>
          <w:sz w:val="24"/>
          <w:szCs w:val="24"/>
          <w:lang w:val="sr-Cyrl-RS"/>
        </w:rPr>
        <w:t>.</w:t>
      </w:r>
      <w:r w:rsidR="00423710" w:rsidRPr="00237AC5">
        <w:rPr>
          <w:rFonts w:ascii="Times New Roman" w:hAnsi="Times New Roman"/>
          <w:sz w:val="24"/>
          <w:szCs w:val="24"/>
        </w:rPr>
        <w:t>”</w:t>
      </w:r>
    </w:p>
    <w:p w:rsidR="00B473EB" w:rsidRPr="00F209F5" w:rsidRDefault="000B316B" w:rsidP="000355F6">
      <w:pPr>
        <w:autoSpaceDE w:val="0"/>
        <w:autoSpaceDN w:val="0"/>
        <w:adjustRightInd w:val="0"/>
        <w:spacing w:after="0" w:line="240" w:lineRule="auto"/>
        <w:jc w:val="both"/>
        <w:rPr>
          <w:rFonts w:ascii="Times New Roman" w:hAnsi="Times New Roman"/>
          <w:sz w:val="24"/>
          <w:szCs w:val="24"/>
        </w:rPr>
      </w:pPr>
      <w:r w:rsidRPr="00F209F5">
        <w:rPr>
          <w:rFonts w:ascii="Times New Roman" w:hAnsi="Times New Roman"/>
          <w:sz w:val="24"/>
          <w:szCs w:val="24"/>
        </w:rPr>
        <w:t xml:space="preserve">            </w:t>
      </w:r>
      <w:r w:rsidR="001B210A">
        <w:rPr>
          <w:rFonts w:ascii="Times New Roman" w:hAnsi="Times New Roman"/>
          <w:sz w:val="24"/>
          <w:szCs w:val="24"/>
          <w:lang w:val="sr-Cyrl-RS"/>
        </w:rPr>
        <w:t>П</w:t>
      </w:r>
      <w:r w:rsidR="00B473EB" w:rsidRPr="001B210A">
        <w:rPr>
          <w:rFonts w:ascii="Times New Roman" w:hAnsi="Times New Roman"/>
          <w:sz w:val="24"/>
          <w:szCs w:val="24"/>
        </w:rPr>
        <w:t>осле</w:t>
      </w:r>
      <w:r w:rsidR="00B473EB" w:rsidRPr="00F209F5">
        <w:rPr>
          <w:rFonts w:ascii="Times New Roman" w:hAnsi="Times New Roman"/>
          <w:sz w:val="24"/>
          <w:szCs w:val="24"/>
        </w:rPr>
        <w:t xml:space="preserve"> става 2. додаје се став 3. који гласи:</w:t>
      </w:r>
    </w:p>
    <w:p w:rsidR="00B473EB" w:rsidRPr="00F209F5" w:rsidRDefault="000B316B" w:rsidP="000355F6">
      <w:pPr>
        <w:autoSpaceDE w:val="0"/>
        <w:autoSpaceDN w:val="0"/>
        <w:adjustRightInd w:val="0"/>
        <w:spacing w:after="0" w:line="240" w:lineRule="auto"/>
        <w:jc w:val="both"/>
        <w:rPr>
          <w:rFonts w:ascii="Times New Roman" w:hAnsi="Times New Roman"/>
          <w:sz w:val="24"/>
          <w:szCs w:val="24"/>
        </w:rPr>
      </w:pPr>
      <w:r w:rsidRPr="00F209F5">
        <w:rPr>
          <w:rFonts w:ascii="Times New Roman" w:hAnsi="Times New Roman"/>
          <w:sz w:val="24"/>
          <w:szCs w:val="24"/>
        </w:rPr>
        <w:t xml:space="preserve">            </w:t>
      </w:r>
      <w:r w:rsidR="00B473EB" w:rsidRPr="00F209F5">
        <w:rPr>
          <w:rFonts w:ascii="Times New Roman" w:hAnsi="Times New Roman"/>
          <w:sz w:val="24"/>
          <w:szCs w:val="24"/>
        </w:rPr>
        <w:t>„Одредбе ст. 1 и 2. овог члана, сходно се примењују и на сродне документе.”</w:t>
      </w:r>
    </w:p>
    <w:p w:rsidR="000B316B" w:rsidRPr="00F209F5" w:rsidRDefault="000B316B" w:rsidP="000355F6">
      <w:pPr>
        <w:autoSpaceDE w:val="0"/>
        <w:autoSpaceDN w:val="0"/>
        <w:adjustRightInd w:val="0"/>
        <w:spacing w:after="0" w:line="240" w:lineRule="auto"/>
        <w:jc w:val="both"/>
        <w:rPr>
          <w:rFonts w:ascii="Times New Roman" w:hAnsi="Times New Roman"/>
          <w:sz w:val="24"/>
          <w:szCs w:val="24"/>
        </w:rPr>
      </w:pPr>
    </w:p>
    <w:p w:rsidR="00B473EB" w:rsidRPr="0053480A" w:rsidRDefault="00B473EB" w:rsidP="000B316B">
      <w:pPr>
        <w:autoSpaceDE w:val="0"/>
        <w:autoSpaceDN w:val="0"/>
        <w:adjustRightInd w:val="0"/>
        <w:spacing w:after="0" w:line="240" w:lineRule="auto"/>
        <w:jc w:val="center"/>
        <w:rPr>
          <w:rFonts w:ascii="Times New Roman" w:hAnsi="Times New Roman"/>
          <w:sz w:val="24"/>
          <w:szCs w:val="24"/>
        </w:rPr>
      </w:pPr>
      <w:r w:rsidRPr="0053480A">
        <w:rPr>
          <w:rFonts w:ascii="Times New Roman" w:hAnsi="Times New Roman"/>
          <w:sz w:val="24"/>
          <w:szCs w:val="24"/>
        </w:rPr>
        <w:t xml:space="preserve">Члан </w:t>
      </w:r>
      <w:r w:rsidR="00562FAB" w:rsidRPr="0053480A">
        <w:rPr>
          <w:rFonts w:ascii="Times New Roman" w:hAnsi="Times New Roman"/>
          <w:sz w:val="24"/>
          <w:szCs w:val="24"/>
        </w:rPr>
        <w:t>11</w:t>
      </w:r>
      <w:r w:rsidRPr="0053480A">
        <w:rPr>
          <w:rFonts w:ascii="Times New Roman" w:hAnsi="Times New Roman"/>
          <w:sz w:val="24"/>
          <w:szCs w:val="24"/>
        </w:rPr>
        <w:t>.</w:t>
      </w:r>
    </w:p>
    <w:p w:rsidR="000B316B" w:rsidRPr="00D32C8A" w:rsidRDefault="000B316B" w:rsidP="000B316B">
      <w:pPr>
        <w:autoSpaceDE w:val="0"/>
        <w:autoSpaceDN w:val="0"/>
        <w:adjustRightInd w:val="0"/>
        <w:spacing w:after="0" w:line="240" w:lineRule="auto"/>
        <w:jc w:val="center"/>
        <w:rPr>
          <w:rFonts w:ascii="Times New Roman" w:hAnsi="Times New Roman"/>
          <w:sz w:val="24"/>
          <w:szCs w:val="24"/>
        </w:rPr>
      </w:pPr>
    </w:p>
    <w:p w:rsidR="004B1BDE" w:rsidRPr="00237AC5" w:rsidRDefault="000B316B" w:rsidP="00A56F70">
      <w:pPr>
        <w:tabs>
          <w:tab w:val="left" w:pos="851"/>
        </w:tabs>
        <w:autoSpaceDE w:val="0"/>
        <w:autoSpaceDN w:val="0"/>
        <w:adjustRightInd w:val="0"/>
        <w:spacing w:after="0" w:line="240" w:lineRule="auto"/>
        <w:jc w:val="both"/>
        <w:rPr>
          <w:rFonts w:ascii="Times New Roman" w:hAnsi="Times New Roman"/>
          <w:sz w:val="24"/>
          <w:szCs w:val="24"/>
          <w:lang w:val="sr-Cyrl-CS"/>
        </w:rPr>
      </w:pPr>
      <w:r w:rsidRPr="00D32C8A">
        <w:rPr>
          <w:rFonts w:ascii="Times New Roman" w:hAnsi="Times New Roman"/>
          <w:sz w:val="24"/>
          <w:szCs w:val="24"/>
        </w:rPr>
        <w:t xml:space="preserve">            </w:t>
      </w:r>
      <w:r w:rsidR="00B473EB" w:rsidRPr="00237AC5">
        <w:rPr>
          <w:rFonts w:ascii="Times New Roman" w:hAnsi="Times New Roman"/>
          <w:sz w:val="24"/>
          <w:szCs w:val="24"/>
        </w:rPr>
        <w:t>У члану 17</w:t>
      </w:r>
      <w:r w:rsidR="004B1BDE" w:rsidRPr="00237AC5">
        <w:rPr>
          <w:rFonts w:ascii="Times New Roman" w:hAnsi="Times New Roman"/>
          <w:sz w:val="24"/>
          <w:szCs w:val="24"/>
          <w:lang w:val="sr-Cyrl-CS"/>
        </w:rPr>
        <w:t>.</w:t>
      </w:r>
      <w:r w:rsidR="00B473EB" w:rsidRPr="00237AC5">
        <w:rPr>
          <w:rFonts w:ascii="Times New Roman" w:hAnsi="Times New Roman"/>
          <w:sz w:val="24"/>
          <w:szCs w:val="24"/>
        </w:rPr>
        <w:t xml:space="preserve"> </w:t>
      </w:r>
      <w:r w:rsidR="004B1BDE" w:rsidRPr="00237AC5">
        <w:rPr>
          <w:rFonts w:ascii="Times New Roman" w:hAnsi="Times New Roman"/>
          <w:sz w:val="24"/>
          <w:szCs w:val="24"/>
          <w:lang w:val="sr-Cyrl-CS"/>
        </w:rPr>
        <w:t>став 2.</w:t>
      </w:r>
      <w:r w:rsidR="001B210A" w:rsidRPr="00237AC5">
        <w:rPr>
          <w:rFonts w:ascii="Times New Roman" w:hAnsi="Times New Roman"/>
          <w:sz w:val="24"/>
          <w:szCs w:val="24"/>
          <w:lang w:val="sr-Cyrl-CS"/>
        </w:rPr>
        <w:t xml:space="preserve"> мења се и гласи:</w:t>
      </w:r>
    </w:p>
    <w:p w:rsidR="00E72DA2" w:rsidRPr="00237AC5" w:rsidRDefault="008B0127" w:rsidP="00077986">
      <w:pPr>
        <w:tabs>
          <w:tab w:val="left" w:pos="709"/>
        </w:tabs>
        <w:autoSpaceDE w:val="0"/>
        <w:autoSpaceDN w:val="0"/>
        <w:adjustRightInd w:val="0"/>
        <w:spacing w:after="0" w:line="240" w:lineRule="auto"/>
        <w:jc w:val="both"/>
        <w:rPr>
          <w:rFonts w:ascii="Times New Roman" w:hAnsi="Times New Roman"/>
          <w:sz w:val="24"/>
          <w:szCs w:val="24"/>
          <w:lang w:val="sr-Cyrl-RS"/>
        </w:rPr>
      </w:pPr>
      <w:r w:rsidRPr="00237AC5">
        <w:rPr>
          <w:rFonts w:ascii="Times New Roman" w:hAnsi="Times New Roman"/>
          <w:sz w:val="24"/>
          <w:szCs w:val="24"/>
          <w:lang w:val="sr-Cyrl-RS"/>
        </w:rPr>
        <w:tab/>
      </w:r>
      <w:r w:rsidR="00E72DA2" w:rsidRPr="00237AC5">
        <w:rPr>
          <w:rFonts w:ascii="Times New Roman" w:hAnsi="Times New Roman"/>
          <w:sz w:val="24"/>
          <w:szCs w:val="24"/>
          <w:lang w:val="sr-Cyrl-RS"/>
        </w:rPr>
        <w:t xml:space="preserve">„Технички или други пропис се може позивати само на </w:t>
      </w:r>
      <w:r w:rsidR="00523063" w:rsidRPr="00237AC5">
        <w:rPr>
          <w:rFonts w:ascii="Times New Roman" w:hAnsi="Times New Roman"/>
          <w:sz w:val="24"/>
          <w:szCs w:val="24"/>
          <w:lang w:val="sr-Latn-CS"/>
        </w:rPr>
        <w:t>o</w:t>
      </w:r>
      <w:r w:rsidR="00523063" w:rsidRPr="00237AC5">
        <w:rPr>
          <w:rFonts w:ascii="Times New Roman" w:hAnsi="Times New Roman"/>
          <w:sz w:val="24"/>
          <w:szCs w:val="24"/>
          <w:lang w:val="sr-Cyrl-CS"/>
        </w:rPr>
        <w:t>бјављене</w:t>
      </w:r>
      <w:r w:rsidR="00172915" w:rsidRPr="00237AC5">
        <w:rPr>
          <w:rFonts w:ascii="Times New Roman" w:hAnsi="Times New Roman"/>
          <w:sz w:val="24"/>
          <w:szCs w:val="24"/>
          <w:lang w:val="sr-Cyrl-CS"/>
        </w:rPr>
        <w:t xml:space="preserve"> </w:t>
      </w:r>
      <w:r w:rsidR="00E72DA2" w:rsidRPr="00237AC5">
        <w:rPr>
          <w:rFonts w:ascii="Times New Roman" w:hAnsi="Times New Roman"/>
          <w:sz w:val="24"/>
          <w:szCs w:val="24"/>
          <w:lang w:val="sr-Cyrl-RS"/>
        </w:rPr>
        <w:t>српске стандарде.</w:t>
      </w:r>
      <w:r w:rsidR="001B210A" w:rsidRPr="00237AC5">
        <w:rPr>
          <w:rFonts w:ascii="Times New Roman" w:hAnsi="Times New Roman"/>
          <w:sz w:val="24"/>
          <w:szCs w:val="24"/>
          <w:lang w:val="sr-Cyrl-RS"/>
        </w:rPr>
        <w:t>”</w:t>
      </w:r>
    </w:p>
    <w:p w:rsidR="001B210A" w:rsidRPr="00237AC5" w:rsidRDefault="001B210A" w:rsidP="001B210A">
      <w:pPr>
        <w:tabs>
          <w:tab w:val="left" w:pos="851"/>
        </w:tabs>
        <w:autoSpaceDE w:val="0"/>
        <w:autoSpaceDN w:val="0"/>
        <w:adjustRightInd w:val="0"/>
        <w:spacing w:after="0" w:line="240" w:lineRule="auto"/>
        <w:ind w:firstLine="709"/>
        <w:jc w:val="both"/>
        <w:rPr>
          <w:rFonts w:ascii="Times New Roman" w:hAnsi="Times New Roman"/>
          <w:sz w:val="24"/>
          <w:szCs w:val="24"/>
        </w:rPr>
      </w:pPr>
      <w:r w:rsidRPr="00237AC5">
        <w:rPr>
          <w:rFonts w:ascii="Times New Roman" w:hAnsi="Times New Roman"/>
          <w:sz w:val="24"/>
          <w:szCs w:val="24"/>
          <w:lang w:val="sr-Cyrl-CS"/>
        </w:rPr>
        <w:t xml:space="preserve">После става 2. </w:t>
      </w:r>
      <w:r w:rsidRPr="00237AC5">
        <w:rPr>
          <w:rFonts w:ascii="Times New Roman" w:hAnsi="Times New Roman"/>
          <w:sz w:val="24"/>
          <w:szCs w:val="24"/>
        </w:rPr>
        <w:t>дода</w:t>
      </w:r>
      <w:r w:rsidRPr="00237AC5">
        <w:rPr>
          <w:rFonts w:ascii="Times New Roman" w:hAnsi="Times New Roman"/>
          <w:sz w:val="24"/>
          <w:szCs w:val="24"/>
          <w:lang w:val="sr-Cyrl-RS"/>
        </w:rPr>
        <w:t xml:space="preserve">је </w:t>
      </w:r>
      <w:r w:rsidRPr="00237AC5">
        <w:rPr>
          <w:rFonts w:ascii="Times New Roman" w:hAnsi="Times New Roman"/>
          <w:sz w:val="24"/>
          <w:szCs w:val="24"/>
        </w:rPr>
        <w:t>се</w:t>
      </w:r>
      <w:r w:rsidRPr="00237AC5">
        <w:rPr>
          <w:rFonts w:ascii="Times New Roman" w:hAnsi="Times New Roman"/>
          <w:sz w:val="24"/>
          <w:szCs w:val="24"/>
          <w:lang w:val="sr-Cyrl-CS"/>
        </w:rPr>
        <w:t xml:space="preserve"> </w:t>
      </w:r>
      <w:r w:rsidRPr="00237AC5">
        <w:rPr>
          <w:rFonts w:ascii="Times New Roman" w:hAnsi="Times New Roman"/>
          <w:sz w:val="24"/>
          <w:szCs w:val="24"/>
        </w:rPr>
        <w:t>ст</w:t>
      </w:r>
      <w:r w:rsidRPr="00237AC5">
        <w:rPr>
          <w:rFonts w:ascii="Times New Roman" w:hAnsi="Times New Roman"/>
          <w:sz w:val="24"/>
          <w:szCs w:val="24"/>
          <w:lang w:val="sr-Cyrl-RS"/>
        </w:rPr>
        <w:t>ав</w:t>
      </w:r>
      <w:r w:rsidRPr="00237AC5">
        <w:rPr>
          <w:rFonts w:ascii="Times New Roman" w:hAnsi="Times New Roman"/>
          <w:sz w:val="24"/>
          <w:szCs w:val="24"/>
          <w:lang w:val="sr-Cyrl-CS"/>
        </w:rPr>
        <w:t xml:space="preserve"> 3</w:t>
      </w:r>
      <w:r w:rsidRPr="00237AC5">
        <w:rPr>
          <w:rFonts w:ascii="Times New Roman" w:hAnsi="Times New Roman"/>
          <w:sz w:val="24"/>
          <w:szCs w:val="24"/>
          <w:lang w:val="en-GB"/>
        </w:rPr>
        <w:t>.</w:t>
      </w:r>
      <w:r w:rsidRPr="00237AC5">
        <w:rPr>
          <w:rFonts w:ascii="Times New Roman" w:hAnsi="Times New Roman"/>
          <w:sz w:val="24"/>
          <w:szCs w:val="24"/>
          <w:lang w:val="sr-Cyrl-CS"/>
        </w:rPr>
        <w:t xml:space="preserve"> </w:t>
      </w:r>
      <w:r w:rsidRPr="00237AC5">
        <w:rPr>
          <w:rFonts w:ascii="Times New Roman" w:hAnsi="Times New Roman"/>
          <w:sz w:val="24"/>
          <w:szCs w:val="24"/>
          <w:lang w:val="sr-Cyrl-RS"/>
        </w:rPr>
        <w:t xml:space="preserve">који гласи: </w:t>
      </w:r>
    </w:p>
    <w:p w:rsidR="008B0127" w:rsidRPr="00F209F5" w:rsidRDefault="00E72DA2" w:rsidP="001B210A">
      <w:pPr>
        <w:tabs>
          <w:tab w:val="left" w:pos="709"/>
        </w:tabs>
        <w:autoSpaceDE w:val="0"/>
        <w:autoSpaceDN w:val="0"/>
        <w:adjustRightInd w:val="0"/>
        <w:spacing w:after="0" w:line="240" w:lineRule="auto"/>
        <w:jc w:val="both"/>
        <w:rPr>
          <w:rFonts w:ascii="Times New Roman" w:hAnsi="Times New Roman"/>
          <w:sz w:val="24"/>
          <w:szCs w:val="24"/>
          <w:lang w:val="sr-Cyrl-RS"/>
        </w:rPr>
      </w:pPr>
      <w:r w:rsidRPr="00237AC5">
        <w:rPr>
          <w:rFonts w:ascii="Times New Roman" w:hAnsi="Times New Roman"/>
          <w:sz w:val="24"/>
          <w:szCs w:val="24"/>
          <w:lang w:val="sr-Cyrl-RS"/>
        </w:rPr>
        <w:tab/>
      </w:r>
      <w:r w:rsidR="001B210A" w:rsidRPr="00237AC5">
        <w:rPr>
          <w:rFonts w:ascii="Times New Roman" w:hAnsi="Times New Roman"/>
          <w:sz w:val="24"/>
          <w:szCs w:val="24"/>
          <w:lang w:val="sr-Cyrl-RS"/>
        </w:rPr>
        <w:t>„</w:t>
      </w:r>
      <w:r w:rsidR="00FE4DCC" w:rsidRPr="00237AC5">
        <w:rPr>
          <w:rFonts w:ascii="Times New Roman" w:hAnsi="Times New Roman"/>
          <w:sz w:val="24"/>
          <w:szCs w:val="24"/>
          <w:lang w:val="sr-Cyrl-CS"/>
        </w:rPr>
        <w:t xml:space="preserve">Изузетно од става </w:t>
      </w:r>
      <w:r w:rsidR="00423710" w:rsidRPr="00237AC5">
        <w:rPr>
          <w:rFonts w:ascii="Times New Roman" w:hAnsi="Times New Roman"/>
          <w:sz w:val="24"/>
          <w:szCs w:val="24"/>
          <w:lang w:val="sr-Cyrl-CS"/>
        </w:rPr>
        <w:t>2</w:t>
      </w:r>
      <w:r w:rsidR="00FE4DCC" w:rsidRPr="00237AC5">
        <w:rPr>
          <w:rFonts w:ascii="Times New Roman" w:hAnsi="Times New Roman"/>
          <w:sz w:val="24"/>
          <w:szCs w:val="24"/>
          <w:lang w:val="sr-Cyrl-CS"/>
        </w:rPr>
        <w:t xml:space="preserve">. овог члана, уколико </w:t>
      </w:r>
      <w:r w:rsidR="00FE4DCC" w:rsidRPr="00237AC5">
        <w:rPr>
          <w:rFonts w:ascii="Times New Roman" w:hAnsi="Times New Roman"/>
          <w:sz w:val="24"/>
          <w:szCs w:val="24"/>
          <w:lang w:val="sr-Cyrl-RS"/>
        </w:rPr>
        <w:t>не</w:t>
      </w:r>
      <w:r w:rsidR="00FE4DCC" w:rsidRPr="00237AC5">
        <w:rPr>
          <w:rFonts w:ascii="Times New Roman" w:hAnsi="Times New Roman"/>
          <w:sz w:val="24"/>
          <w:szCs w:val="24"/>
          <w:lang w:val="sr-Cyrl-CS"/>
        </w:rPr>
        <w:t>ма објављеног српског стандарда у одговарајућој области, у</w:t>
      </w:r>
      <w:r w:rsidR="00FE4DCC" w:rsidRPr="00237AC5">
        <w:rPr>
          <w:rFonts w:ascii="Times New Roman" w:hAnsi="Times New Roman"/>
          <w:sz w:val="24"/>
          <w:szCs w:val="24"/>
          <w:lang w:val="sr-Cyrl-RS"/>
        </w:rPr>
        <w:t xml:space="preserve"> </w:t>
      </w:r>
      <w:r w:rsidR="00FE4DCC" w:rsidRPr="00237AC5">
        <w:rPr>
          <w:rFonts w:ascii="Times New Roman" w:hAnsi="Times New Roman"/>
          <w:sz w:val="24"/>
          <w:szCs w:val="24"/>
          <w:lang w:val="sr-Cyrl-CS"/>
        </w:rPr>
        <w:t xml:space="preserve">техничком или другом </w:t>
      </w:r>
      <w:r w:rsidR="00FE4DCC" w:rsidRPr="00237AC5">
        <w:rPr>
          <w:rFonts w:ascii="Times New Roman" w:hAnsi="Times New Roman"/>
          <w:sz w:val="24"/>
          <w:szCs w:val="24"/>
          <w:lang w:val="sr-Cyrl-RS"/>
        </w:rPr>
        <w:t xml:space="preserve">пропису </w:t>
      </w:r>
      <w:r w:rsidR="00FE4DCC" w:rsidRPr="00237AC5">
        <w:rPr>
          <w:rFonts w:ascii="Times New Roman" w:hAnsi="Times New Roman"/>
          <w:sz w:val="24"/>
          <w:szCs w:val="24"/>
          <w:lang w:val="sr-Cyrl-CS"/>
        </w:rPr>
        <w:t>Републике Србиј</w:t>
      </w:r>
      <w:r w:rsidR="00FE4DCC" w:rsidRPr="00237AC5">
        <w:rPr>
          <w:rFonts w:ascii="Times New Roman" w:hAnsi="Times New Roman"/>
          <w:sz w:val="24"/>
          <w:szCs w:val="24"/>
          <w:lang w:val="en-GB"/>
        </w:rPr>
        <w:t>e</w:t>
      </w:r>
      <w:r w:rsidR="00FE4DCC" w:rsidRPr="00237AC5">
        <w:rPr>
          <w:rFonts w:ascii="Times New Roman" w:hAnsi="Times New Roman"/>
          <w:sz w:val="24"/>
          <w:szCs w:val="24"/>
          <w:lang w:val="sr-Cyrl-CS"/>
        </w:rPr>
        <w:t xml:space="preserve"> може се </w:t>
      </w:r>
      <w:r w:rsidR="00FE4DCC" w:rsidRPr="00237AC5">
        <w:rPr>
          <w:rFonts w:ascii="Times New Roman" w:hAnsi="Times New Roman"/>
          <w:sz w:val="24"/>
          <w:szCs w:val="24"/>
          <w:lang w:val="sr-Cyrl-RS"/>
        </w:rPr>
        <w:t>врши</w:t>
      </w:r>
      <w:r w:rsidR="00FE4DCC" w:rsidRPr="00237AC5">
        <w:rPr>
          <w:rFonts w:ascii="Times New Roman" w:hAnsi="Times New Roman"/>
          <w:sz w:val="24"/>
          <w:szCs w:val="24"/>
          <w:lang w:val="sr-Cyrl-CS"/>
        </w:rPr>
        <w:t>ти</w:t>
      </w:r>
      <w:r w:rsidR="00FE4DCC" w:rsidRPr="00237AC5">
        <w:rPr>
          <w:rFonts w:ascii="Times New Roman" w:hAnsi="Times New Roman"/>
          <w:sz w:val="24"/>
          <w:szCs w:val="24"/>
          <w:lang w:val="sr-Cyrl-RS"/>
        </w:rPr>
        <w:t xml:space="preserve"> позивање на међународни</w:t>
      </w:r>
      <w:r w:rsidR="00FD12C6" w:rsidRPr="00237AC5">
        <w:rPr>
          <w:rFonts w:ascii="Times New Roman" w:hAnsi="Times New Roman"/>
          <w:sz w:val="24"/>
          <w:szCs w:val="24"/>
          <w:lang w:val="sr-Cyrl-RS"/>
        </w:rPr>
        <w:t>,</w:t>
      </w:r>
      <w:r w:rsidR="00FE4DCC" w:rsidRPr="00237AC5">
        <w:rPr>
          <w:rFonts w:ascii="Times New Roman" w:hAnsi="Times New Roman"/>
          <w:sz w:val="24"/>
          <w:szCs w:val="24"/>
          <w:lang w:val="sr-Cyrl-CS"/>
        </w:rPr>
        <w:t xml:space="preserve"> </w:t>
      </w:r>
      <w:r w:rsidR="00FD12C6" w:rsidRPr="00237AC5">
        <w:rPr>
          <w:rFonts w:ascii="Times New Roman" w:hAnsi="Times New Roman"/>
          <w:sz w:val="24"/>
          <w:szCs w:val="24"/>
          <w:lang w:val="sr-Cyrl-RS"/>
        </w:rPr>
        <w:t>европски</w:t>
      </w:r>
      <w:r w:rsidR="00FD12C6" w:rsidRPr="00237AC5">
        <w:rPr>
          <w:rFonts w:ascii="Times New Roman" w:hAnsi="Times New Roman"/>
          <w:sz w:val="24"/>
          <w:szCs w:val="24"/>
          <w:lang w:val="sr-Cyrl-CS"/>
        </w:rPr>
        <w:t xml:space="preserve"> </w:t>
      </w:r>
      <w:r w:rsidR="00FE4DCC" w:rsidRPr="00237AC5">
        <w:rPr>
          <w:rFonts w:ascii="Times New Roman" w:hAnsi="Times New Roman"/>
          <w:sz w:val="24"/>
          <w:szCs w:val="24"/>
          <w:lang w:val="sr-Cyrl-CS"/>
        </w:rPr>
        <w:t>или национални</w:t>
      </w:r>
      <w:r w:rsidR="00FE4DCC" w:rsidRPr="00237AC5">
        <w:rPr>
          <w:rFonts w:ascii="Times New Roman" w:hAnsi="Times New Roman"/>
          <w:sz w:val="24"/>
          <w:szCs w:val="24"/>
          <w:lang w:val="sr-Cyrl-RS"/>
        </w:rPr>
        <w:t xml:space="preserve"> стандард</w:t>
      </w:r>
      <w:r w:rsidR="00523063" w:rsidRPr="00237AC5">
        <w:rPr>
          <w:rFonts w:ascii="Times New Roman" w:hAnsi="Times New Roman"/>
          <w:sz w:val="24"/>
          <w:szCs w:val="24"/>
          <w:lang w:val="sr-Cyrl-CS"/>
        </w:rPr>
        <w:t xml:space="preserve"> других држава</w:t>
      </w:r>
      <w:r w:rsidR="00FE4DCC" w:rsidRPr="00237AC5">
        <w:rPr>
          <w:rFonts w:ascii="Times New Roman" w:hAnsi="Times New Roman"/>
          <w:sz w:val="24"/>
          <w:szCs w:val="24"/>
          <w:lang w:val="en-GB"/>
        </w:rPr>
        <w:t>.</w:t>
      </w:r>
      <w:r w:rsidR="00FD12C6" w:rsidRPr="00237AC5">
        <w:rPr>
          <w:rFonts w:ascii="Times New Roman" w:hAnsi="Times New Roman"/>
          <w:sz w:val="24"/>
          <w:szCs w:val="24"/>
        </w:rPr>
        <w:t xml:space="preserve"> ”</w:t>
      </w:r>
    </w:p>
    <w:p w:rsidR="000B316B" w:rsidRPr="00F209F5" w:rsidRDefault="000B316B" w:rsidP="000355F6">
      <w:pPr>
        <w:autoSpaceDE w:val="0"/>
        <w:autoSpaceDN w:val="0"/>
        <w:adjustRightInd w:val="0"/>
        <w:spacing w:after="0" w:line="240" w:lineRule="auto"/>
        <w:ind w:firstLine="720"/>
        <w:jc w:val="both"/>
        <w:rPr>
          <w:rFonts w:ascii="Times New Roman" w:hAnsi="Times New Roman"/>
          <w:sz w:val="24"/>
          <w:szCs w:val="24"/>
          <w:lang w:val="sr-Cyrl-RS"/>
        </w:rPr>
      </w:pPr>
    </w:p>
    <w:p w:rsidR="00B473EB" w:rsidRPr="0053480A" w:rsidRDefault="00B473EB" w:rsidP="009B3C95">
      <w:pPr>
        <w:tabs>
          <w:tab w:val="left" w:pos="851"/>
        </w:tabs>
        <w:autoSpaceDE w:val="0"/>
        <w:autoSpaceDN w:val="0"/>
        <w:adjustRightInd w:val="0"/>
        <w:spacing w:after="0" w:line="240" w:lineRule="auto"/>
        <w:jc w:val="center"/>
        <w:rPr>
          <w:rFonts w:ascii="Times New Roman" w:hAnsi="Times New Roman"/>
          <w:sz w:val="24"/>
          <w:szCs w:val="24"/>
        </w:rPr>
      </w:pPr>
      <w:r w:rsidRPr="0053480A">
        <w:rPr>
          <w:rFonts w:ascii="Times New Roman" w:hAnsi="Times New Roman"/>
          <w:sz w:val="24"/>
          <w:szCs w:val="24"/>
        </w:rPr>
        <w:t xml:space="preserve">Члан </w:t>
      </w:r>
      <w:r w:rsidR="00562FAB" w:rsidRPr="0053480A">
        <w:rPr>
          <w:rFonts w:ascii="Times New Roman" w:hAnsi="Times New Roman"/>
          <w:sz w:val="24"/>
          <w:szCs w:val="24"/>
        </w:rPr>
        <w:t>12</w:t>
      </w:r>
      <w:r w:rsidR="00980805">
        <w:rPr>
          <w:rFonts w:ascii="Times New Roman" w:hAnsi="Times New Roman"/>
          <w:sz w:val="24"/>
          <w:szCs w:val="24"/>
        </w:rPr>
        <w:t>.</w:t>
      </w:r>
    </w:p>
    <w:p w:rsidR="000B316B" w:rsidRPr="00F209F5" w:rsidRDefault="000B316B" w:rsidP="000355F6">
      <w:pPr>
        <w:autoSpaceDE w:val="0"/>
        <w:autoSpaceDN w:val="0"/>
        <w:adjustRightInd w:val="0"/>
        <w:spacing w:after="0" w:line="240" w:lineRule="auto"/>
        <w:jc w:val="center"/>
        <w:rPr>
          <w:rFonts w:ascii="Times New Roman" w:hAnsi="Times New Roman"/>
          <w:sz w:val="24"/>
          <w:szCs w:val="24"/>
        </w:rPr>
      </w:pPr>
    </w:p>
    <w:p w:rsidR="000B6E4C" w:rsidRPr="00077986" w:rsidRDefault="000B6E4C" w:rsidP="000B6E4C">
      <w:pPr>
        <w:pStyle w:val="1tekst"/>
        <w:ind w:left="0" w:right="49" w:firstLine="490"/>
        <w:rPr>
          <w:rFonts w:ascii="Times New Roman" w:hAnsi="Times New Roman" w:cs="Times New Roman"/>
          <w:sz w:val="24"/>
          <w:szCs w:val="24"/>
        </w:rPr>
      </w:pPr>
      <w:r w:rsidRPr="00077986">
        <w:rPr>
          <w:rFonts w:ascii="Times New Roman" w:hAnsi="Times New Roman" w:cs="Times New Roman"/>
          <w:sz w:val="24"/>
          <w:szCs w:val="24"/>
        </w:rPr>
        <w:t xml:space="preserve">Одлука о оснивању Института за стандардизацију Србије, ускладиће се са одредбама овог закона у року од шест месеци од дана </w:t>
      </w:r>
      <w:r w:rsidR="000A41C0" w:rsidRPr="00077986">
        <w:rPr>
          <w:rFonts w:ascii="Times New Roman" w:hAnsi="Times New Roman" w:cs="Times New Roman"/>
          <w:sz w:val="24"/>
          <w:szCs w:val="24"/>
          <w:lang w:val="sr-Cyrl-CS"/>
        </w:rPr>
        <w:t xml:space="preserve">његовог </w:t>
      </w:r>
      <w:r w:rsidRPr="00077986">
        <w:rPr>
          <w:rFonts w:ascii="Times New Roman" w:hAnsi="Times New Roman" w:cs="Times New Roman"/>
          <w:sz w:val="24"/>
          <w:szCs w:val="24"/>
        </w:rPr>
        <w:t xml:space="preserve">ступања на снагу. </w:t>
      </w:r>
    </w:p>
    <w:p w:rsidR="007D0194" w:rsidRPr="00F209F5" w:rsidRDefault="007D0194" w:rsidP="000B6E4C">
      <w:pPr>
        <w:tabs>
          <w:tab w:val="left" w:pos="851"/>
        </w:tabs>
        <w:autoSpaceDE w:val="0"/>
        <w:autoSpaceDN w:val="0"/>
        <w:adjustRightInd w:val="0"/>
        <w:spacing w:after="0" w:line="240" w:lineRule="auto"/>
        <w:jc w:val="both"/>
        <w:rPr>
          <w:rFonts w:ascii="Times New Roman" w:hAnsi="Times New Roman"/>
          <w:sz w:val="24"/>
          <w:szCs w:val="24"/>
        </w:rPr>
      </w:pPr>
    </w:p>
    <w:p w:rsidR="00B473EB" w:rsidRPr="0053480A" w:rsidRDefault="00B473EB" w:rsidP="000355F6">
      <w:pPr>
        <w:autoSpaceDE w:val="0"/>
        <w:autoSpaceDN w:val="0"/>
        <w:adjustRightInd w:val="0"/>
        <w:spacing w:after="0" w:line="240" w:lineRule="auto"/>
        <w:jc w:val="center"/>
        <w:rPr>
          <w:rFonts w:ascii="Times New Roman" w:hAnsi="Times New Roman"/>
          <w:sz w:val="24"/>
          <w:szCs w:val="24"/>
        </w:rPr>
      </w:pPr>
      <w:r w:rsidRPr="0053480A">
        <w:rPr>
          <w:rFonts w:ascii="Times New Roman" w:hAnsi="Times New Roman"/>
          <w:sz w:val="24"/>
          <w:szCs w:val="24"/>
        </w:rPr>
        <w:t xml:space="preserve">Члан </w:t>
      </w:r>
      <w:r w:rsidR="00562FAB" w:rsidRPr="0053480A">
        <w:rPr>
          <w:rFonts w:ascii="Times New Roman" w:hAnsi="Times New Roman"/>
          <w:sz w:val="24"/>
          <w:szCs w:val="24"/>
          <w:lang w:val="sr-Cyrl-RS"/>
        </w:rPr>
        <w:t>13</w:t>
      </w:r>
      <w:r w:rsidRPr="0053480A">
        <w:rPr>
          <w:rFonts w:ascii="Times New Roman" w:hAnsi="Times New Roman"/>
          <w:sz w:val="24"/>
          <w:szCs w:val="24"/>
        </w:rPr>
        <w:t>.</w:t>
      </w:r>
    </w:p>
    <w:p w:rsidR="000B316B" w:rsidRPr="00F209F5" w:rsidRDefault="000B316B" w:rsidP="000355F6">
      <w:pPr>
        <w:autoSpaceDE w:val="0"/>
        <w:autoSpaceDN w:val="0"/>
        <w:adjustRightInd w:val="0"/>
        <w:spacing w:after="0" w:line="240" w:lineRule="auto"/>
        <w:jc w:val="center"/>
        <w:rPr>
          <w:rFonts w:ascii="Times New Roman" w:hAnsi="Times New Roman"/>
          <w:sz w:val="24"/>
          <w:szCs w:val="24"/>
        </w:rPr>
      </w:pPr>
    </w:p>
    <w:p w:rsidR="009E7A64" w:rsidRDefault="000B316B" w:rsidP="000739C1">
      <w:pPr>
        <w:tabs>
          <w:tab w:val="left" w:pos="709"/>
        </w:tabs>
        <w:autoSpaceDE w:val="0"/>
        <w:autoSpaceDN w:val="0"/>
        <w:adjustRightInd w:val="0"/>
        <w:spacing w:after="0" w:line="240" w:lineRule="auto"/>
        <w:jc w:val="both"/>
        <w:rPr>
          <w:rFonts w:ascii="Times New Roman" w:hAnsi="Times New Roman"/>
          <w:sz w:val="24"/>
          <w:szCs w:val="24"/>
        </w:rPr>
      </w:pPr>
      <w:r w:rsidRPr="00F209F5">
        <w:rPr>
          <w:rFonts w:ascii="Times New Roman" w:hAnsi="Times New Roman"/>
          <w:sz w:val="24"/>
          <w:szCs w:val="24"/>
        </w:rPr>
        <w:t xml:space="preserve">            </w:t>
      </w:r>
      <w:r w:rsidR="00B473EB" w:rsidRPr="00F209F5">
        <w:rPr>
          <w:rFonts w:ascii="Times New Roman" w:hAnsi="Times New Roman"/>
          <w:sz w:val="24"/>
          <w:szCs w:val="24"/>
        </w:rPr>
        <w:t>Овај закон ступа на снагу осмог дана од дана објављивања у „Службеном гласнику</w:t>
      </w:r>
      <w:r w:rsidR="00501460" w:rsidRPr="00F209F5">
        <w:rPr>
          <w:rFonts w:ascii="Times New Roman" w:hAnsi="Times New Roman"/>
          <w:sz w:val="24"/>
          <w:szCs w:val="24"/>
          <w:lang w:val="sr-Cyrl-RS"/>
        </w:rPr>
        <w:t xml:space="preserve"> </w:t>
      </w:r>
      <w:r w:rsidR="00B473EB" w:rsidRPr="00F209F5">
        <w:rPr>
          <w:rFonts w:ascii="Times New Roman" w:hAnsi="Times New Roman"/>
          <w:sz w:val="24"/>
          <w:szCs w:val="24"/>
        </w:rPr>
        <w:t>Републике Србије”.</w:t>
      </w:r>
    </w:p>
    <w:p w:rsidR="009E7A64" w:rsidRDefault="009E7A64">
      <w:pPr>
        <w:spacing w:after="0" w:line="240" w:lineRule="auto"/>
        <w:rPr>
          <w:rFonts w:ascii="Times New Roman" w:hAnsi="Times New Roman"/>
          <w:sz w:val="24"/>
          <w:szCs w:val="24"/>
        </w:rPr>
      </w:pPr>
      <w:r>
        <w:rPr>
          <w:rFonts w:ascii="Times New Roman" w:hAnsi="Times New Roman"/>
          <w:sz w:val="24"/>
          <w:szCs w:val="24"/>
        </w:rPr>
        <w:br w:type="page"/>
      </w:r>
    </w:p>
    <w:p w:rsidR="001A3927" w:rsidRDefault="001A3927" w:rsidP="001A3927">
      <w:pPr>
        <w:tabs>
          <w:tab w:val="left" w:pos="709"/>
        </w:tabs>
        <w:jc w:val="center"/>
        <w:rPr>
          <w:lang w:val="sr-Cyrl-RS"/>
        </w:rPr>
      </w:pPr>
      <w:r>
        <w:rPr>
          <w:lang w:val="sr-Cyrl-RS"/>
        </w:rPr>
        <w:lastRenderedPageBreak/>
        <w:t>ОБРАЗЛОЖЕЊЕ</w:t>
      </w:r>
    </w:p>
    <w:p w:rsidR="001A3927" w:rsidRDefault="001A3927" w:rsidP="001A3927">
      <w:pPr>
        <w:jc w:val="center"/>
        <w:rPr>
          <w:lang w:val="sr-Cyrl-RS"/>
        </w:rPr>
      </w:pPr>
    </w:p>
    <w:p w:rsidR="001A3927" w:rsidRDefault="001A3927" w:rsidP="001A3927">
      <w:pPr>
        <w:pStyle w:val="ListParagraph"/>
        <w:numPr>
          <w:ilvl w:val="0"/>
          <w:numId w:val="6"/>
        </w:numPr>
        <w:tabs>
          <w:tab w:val="left" w:pos="284"/>
        </w:tabs>
        <w:spacing w:after="0" w:line="240" w:lineRule="auto"/>
        <w:ind w:left="0" w:firstLine="0"/>
        <w:rPr>
          <w:rFonts w:ascii="Times New Roman" w:hAnsi="Times New Roman"/>
          <w:sz w:val="24"/>
          <w:szCs w:val="24"/>
          <w:lang w:val="sr-Cyrl-RS"/>
        </w:rPr>
      </w:pPr>
      <w:r>
        <w:rPr>
          <w:rFonts w:ascii="Times New Roman" w:hAnsi="Times New Roman"/>
          <w:sz w:val="24"/>
          <w:szCs w:val="24"/>
          <w:lang w:val="sr-Cyrl-RS"/>
        </w:rPr>
        <w:t>УСТАВНИ ОСНОВ ЗА ДОНОШЕЊЕ ЗАКОНА</w:t>
      </w:r>
    </w:p>
    <w:p w:rsidR="001A3927" w:rsidRDefault="001A3927" w:rsidP="001A3927">
      <w:pPr>
        <w:pStyle w:val="ListParagraph"/>
        <w:tabs>
          <w:tab w:val="left" w:pos="284"/>
        </w:tabs>
        <w:spacing w:after="0" w:line="240" w:lineRule="auto"/>
        <w:ind w:left="0"/>
        <w:rPr>
          <w:rFonts w:ascii="Times New Roman" w:hAnsi="Times New Roman"/>
          <w:sz w:val="24"/>
          <w:szCs w:val="24"/>
          <w:lang w:val="sr-Cyrl-RS"/>
        </w:rPr>
      </w:pPr>
      <w:r>
        <w:rPr>
          <w:rFonts w:ascii="Times New Roman" w:hAnsi="Times New Roman"/>
          <w:sz w:val="24"/>
          <w:szCs w:val="24"/>
          <w:lang w:val="sr-Cyrl-RS"/>
        </w:rPr>
        <w:tab/>
      </w:r>
    </w:p>
    <w:p w:rsidR="001A3927" w:rsidRDefault="001A3927" w:rsidP="001A3927">
      <w:pPr>
        <w:pStyle w:val="ListParagraph"/>
        <w:tabs>
          <w:tab w:val="left" w:pos="284"/>
          <w:tab w:val="left" w:pos="426"/>
        </w:tabs>
        <w:spacing w:after="0" w:line="240" w:lineRule="auto"/>
        <w:ind w:left="0"/>
        <w:jc w:val="both"/>
        <w:rPr>
          <w:rFonts w:ascii="Times New Roman" w:hAnsi="Times New Roman"/>
          <w:sz w:val="24"/>
          <w:szCs w:val="24"/>
          <w:lang w:val="sr-Cyrl-RS"/>
        </w:rPr>
      </w:pPr>
      <w:r>
        <w:rPr>
          <w:rFonts w:ascii="Times New Roman" w:hAnsi="Times New Roman"/>
          <w:sz w:val="24"/>
          <w:szCs w:val="24"/>
          <w:lang w:val="sr-Cyrl-RS"/>
        </w:rPr>
        <w:tab/>
        <w:t xml:space="preserve"> Уставни основ за доношење Предлога закона о изменама и допунама Закона о стандардизацији садржан је у члану 97. став 1. тачка 6. Устава Републике Србије, којим се утврђује да Република Србија уређује и обезбеђује, између осталог, јединствено тржиште, правни положај привредних субјеката и систем обављања појединих привредних и других делатности.</w:t>
      </w:r>
    </w:p>
    <w:p w:rsidR="001A3927" w:rsidRDefault="001A3927" w:rsidP="001A3927">
      <w:pPr>
        <w:pStyle w:val="ListParagraph"/>
        <w:tabs>
          <w:tab w:val="left" w:pos="284"/>
        </w:tabs>
        <w:spacing w:after="0" w:line="240" w:lineRule="auto"/>
        <w:ind w:left="0"/>
        <w:jc w:val="both"/>
        <w:rPr>
          <w:rFonts w:ascii="Times New Roman" w:hAnsi="Times New Roman"/>
          <w:sz w:val="24"/>
          <w:szCs w:val="24"/>
          <w:lang w:val="sr-Cyrl-RS"/>
        </w:rPr>
      </w:pPr>
    </w:p>
    <w:p w:rsidR="001A3927" w:rsidRDefault="001A3927" w:rsidP="001A3927">
      <w:pPr>
        <w:pStyle w:val="ListParagraph"/>
        <w:numPr>
          <w:ilvl w:val="0"/>
          <w:numId w:val="6"/>
        </w:numPr>
        <w:tabs>
          <w:tab w:val="left" w:pos="284"/>
        </w:tabs>
        <w:spacing w:after="0" w:line="240" w:lineRule="auto"/>
        <w:ind w:left="0" w:firstLine="0"/>
        <w:rPr>
          <w:rFonts w:ascii="Times New Roman" w:hAnsi="Times New Roman"/>
          <w:sz w:val="24"/>
          <w:szCs w:val="24"/>
          <w:lang w:val="sr-Cyrl-RS"/>
        </w:rPr>
      </w:pPr>
      <w:r>
        <w:rPr>
          <w:rFonts w:ascii="Times New Roman" w:hAnsi="Times New Roman"/>
          <w:sz w:val="24"/>
          <w:szCs w:val="24"/>
          <w:lang w:val="sr-Cyrl-RS"/>
        </w:rPr>
        <w:t>РАЗЛОЗИ ЗА ДОНОШЕЊЕ ЗАКОНА</w:t>
      </w:r>
    </w:p>
    <w:p w:rsidR="001A3927" w:rsidRDefault="001A3927" w:rsidP="001A3927">
      <w:pPr>
        <w:pStyle w:val="ListParagraph"/>
        <w:tabs>
          <w:tab w:val="left" w:pos="284"/>
        </w:tabs>
        <w:spacing w:after="0" w:line="240" w:lineRule="auto"/>
        <w:ind w:left="0"/>
        <w:rPr>
          <w:rFonts w:ascii="Times New Roman" w:hAnsi="Times New Roman"/>
          <w:sz w:val="24"/>
          <w:szCs w:val="24"/>
          <w:lang w:val="sr-Cyrl-RS"/>
        </w:rPr>
      </w:pPr>
    </w:p>
    <w:p w:rsidR="001A3927" w:rsidRDefault="001A3927" w:rsidP="001A3927">
      <w:pPr>
        <w:pStyle w:val="CommentText"/>
        <w:ind w:firstLine="426"/>
        <w:jc w:val="both"/>
        <w:rPr>
          <w:rFonts w:ascii="Times New Roman" w:hAnsi="Times New Roman"/>
          <w:sz w:val="24"/>
          <w:szCs w:val="24"/>
          <w:lang w:val="sr-Cyrl-RS"/>
        </w:rPr>
      </w:pPr>
      <w:bookmarkStart w:id="1" w:name="h.pi1k9t4ssw1a"/>
      <w:bookmarkEnd w:id="1"/>
      <w:r>
        <w:rPr>
          <w:sz w:val="24"/>
          <w:szCs w:val="24"/>
          <w:lang w:val="sr-Cyrl-RS"/>
        </w:rPr>
        <w:t>Систем стандардизације у Републици Србији уређен је Законом о стандардизацији („Службени гласник РС”, број 36/09). Овај закон је у потпуности усаглашен са правилима међународних и европских организација за стандардизацију која су важила у време његовог доношења.</w:t>
      </w:r>
    </w:p>
    <w:p w:rsidR="001A3927" w:rsidRDefault="001A3927" w:rsidP="001A3927">
      <w:pPr>
        <w:pStyle w:val="CommentText"/>
        <w:ind w:firstLine="426"/>
        <w:jc w:val="both"/>
        <w:rPr>
          <w:sz w:val="24"/>
          <w:szCs w:val="24"/>
          <w:lang w:val="sr-Cyrl-RS"/>
        </w:rPr>
      </w:pPr>
      <w:r>
        <w:rPr>
          <w:sz w:val="24"/>
          <w:szCs w:val="24"/>
          <w:lang w:val="sr-Cyrl-RS"/>
        </w:rPr>
        <w:t xml:space="preserve">Имајући у виду да су се европска правила у области стандардизације почетком 2013. године променила, ступањем на снагу Уредбе (ЕУ) бр. 1025/2012 Европског Парламента и Савета од 25. октобра 2012. године (у даљем тексту: Уредба 1025/2012), односно </w:t>
      </w:r>
      <w:r>
        <w:rPr>
          <w:i/>
          <w:sz w:val="24"/>
          <w:szCs w:val="24"/>
          <w:lang w:val="sr-Cyrl-RS"/>
        </w:rPr>
        <w:t>Regulation (EU) No 1025/2012 of the European Parlament and of the Council of 25. October 2012,</w:t>
      </w:r>
      <w:r>
        <w:rPr>
          <w:sz w:val="24"/>
          <w:szCs w:val="24"/>
          <w:lang w:val="sr-Cyrl-RS"/>
        </w:rPr>
        <w:t xml:space="preserve"> било је неопходно извршити потпуно усклађивање прописа у овој области у Републици Србији са новим европским правилима стандардизације, како би Институт за стандардизацију Србије (у даљем тексту: Институт) остварио пуноправно чланство у европским организацијама за стандардизацију, односно Европском комитету за стандардизацију (</w:t>
      </w:r>
      <w:r>
        <w:rPr>
          <w:i/>
          <w:sz w:val="24"/>
          <w:szCs w:val="24"/>
          <w:lang w:val="sr-Cyrl-RS"/>
        </w:rPr>
        <w:t>CEN</w:t>
      </w:r>
      <w:r>
        <w:rPr>
          <w:sz w:val="24"/>
          <w:szCs w:val="24"/>
          <w:lang w:val="sr-Cyrl-RS"/>
        </w:rPr>
        <w:t>) и Европском комитету за електротехничку стандардизацију (</w:t>
      </w:r>
      <w:r>
        <w:rPr>
          <w:i/>
          <w:sz w:val="24"/>
          <w:szCs w:val="24"/>
          <w:lang w:val="sr-Cyrl-RS"/>
        </w:rPr>
        <w:t>CENELEC</w:t>
      </w:r>
      <w:r>
        <w:rPr>
          <w:sz w:val="24"/>
          <w:szCs w:val="24"/>
          <w:lang w:val="sr-Cyrl-RS"/>
        </w:rPr>
        <w:t xml:space="preserve">), што је један од неопходних услова за пријем  Републике Србије у Европску унију. </w:t>
      </w:r>
    </w:p>
    <w:p w:rsidR="001A3927" w:rsidRDefault="001A3927" w:rsidP="001A3927">
      <w:pPr>
        <w:pStyle w:val="CommentText"/>
        <w:ind w:firstLine="426"/>
        <w:jc w:val="both"/>
        <w:rPr>
          <w:sz w:val="24"/>
          <w:szCs w:val="24"/>
          <w:lang w:val="sr-Cyrl-RS"/>
        </w:rPr>
      </w:pPr>
      <w:r>
        <w:rPr>
          <w:sz w:val="24"/>
          <w:szCs w:val="24"/>
          <w:lang w:val="sr-Cyrl-RS"/>
        </w:rPr>
        <w:t>Об</w:t>
      </w:r>
      <w:r>
        <w:rPr>
          <w:iCs/>
          <w:sz w:val="24"/>
          <w:szCs w:val="24"/>
          <w:lang w:val="sr-Cyrl-RS"/>
        </w:rPr>
        <w:t xml:space="preserve">авеза преузимања </w:t>
      </w:r>
      <w:r>
        <w:rPr>
          <w:sz w:val="24"/>
          <w:szCs w:val="24"/>
          <w:lang w:val="sr-Cyrl-RS"/>
        </w:rPr>
        <w:t>Уредбе 1025/2012, проистиче из члана 77. Споразума о стабилизацији и придруживању, потписаног 29. априла 2008. године између Републике Србије и Европске уније, којим је, договорено да ће Србија предузети неопходне мере како би постепено постигла усклађеност са, између осталог, правилима која важе у европским организацијама за стандардизацију.</w:t>
      </w:r>
    </w:p>
    <w:p w:rsidR="001A3927" w:rsidRDefault="001A3927" w:rsidP="001A3927">
      <w:pPr>
        <w:pStyle w:val="Default"/>
        <w:ind w:firstLine="426"/>
        <w:jc w:val="both"/>
        <w:rPr>
          <w:color w:val="auto"/>
          <w:lang w:val="sr-Cyrl-RS"/>
        </w:rPr>
      </w:pPr>
      <w:r>
        <w:rPr>
          <w:color w:val="auto"/>
          <w:lang w:val="sr-Cyrl-RS"/>
        </w:rPr>
        <w:t xml:space="preserve">Такође, у ревидираном Националном програму за усвајање правних тековина ЕУ (НПАА) који је усвојен Закључком Владе 05 Број: 337-8355/2014 од 31. јула 2014. године, утврђено је да ће у периоду од 2014. до 2018. године стратегија Института бити усмерена на остваривање, између осталог, следећих стратешких циљева:  усклађивање Закона о стандардизацији и подзаконских аката, као и интерних аката Института са Уредбом 1025/2012, као и достизање и одржавање </w:t>
      </w:r>
      <w:r>
        <w:rPr>
          <w:color w:val="auto"/>
          <w:lang w:val="sr-Cyrl-RS"/>
        </w:rPr>
        <w:lastRenderedPageBreak/>
        <w:t>статуса пуноправног члана у међународним и европским организацијама за стандардизацију и успостављање активног учествовања у креирању и спровођењу политика и стратегија тих организација (Део 3. ревидираног НПАА, Способност преузимања обавеза из чланства у ЕУ, подтачка 3.1.1.1. Стандардизација).</w:t>
      </w:r>
    </w:p>
    <w:p w:rsidR="001A3927" w:rsidRDefault="001A3927" w:rsidP="001A3927">
      <w:pPr>
        <w:pStyle w:val="Normal1"/>
        <w:spacing w:line="240" w:lineRule="auto"/>
        <w:ind w:firstLine="426"/>
        <w:jc w:val="both"/>
        <w:rPr>
          <w:rFonts w:ascii="Times New Roman" w:hAnsi="Times New Roman" w:cs="Times New Roman"/>
          <w:color w:val="auto"/>
          <w:sz w:val="24"/>
          <w:szCs w:val="24"/>
          <w:lang w:val="sr-Cyrl-RS"/>
        </w:rPr>
      </w:pPr>
      <w:r>
        <w:rPr>
          <w:rFonts w:ascii="Times New Roman" w:hAnsi="Times New Roman" w:cs="Times New Roman"/>
          <w:color w:val="auto"/>
          <w:sz w:val="24"/>
          <w:szCs w:val="24"/>
          <w:lang w:val="sr-Cyrl-RS"/>
        </w:rPr>
        <w:t>С обзиром да се у складу са Националним програмом за усвајање правних тековина ЕУ (НПАА), један од основних и најтежих услова за стицање статуса пуноправног чланства Института у поменутим организацијама, односио на преузимање</w:t>
      </w:r>
      <w:r>
        <w:rPr>
          <w:color w:val="auto"/>
          <w:sz w:val="24"/>
          <w:szCs w:val="24"/>
          <w:lang w:val="sr-Cyrl-RS"/>
        </w:rPr>
        <w:t xml:space="preserve"> </w:t>
      </w:r>
      <w:r>
        <w:rPr>
          <w:rFonts w:ascii="Times New Roman" w:hAnsi="Times New Roman" w:cs="Times New Roman"/>
          <w:color w:val="auto"/>
          <w:sz w:val="24"/>
          <w:szCs w:val="24"/>
          <w:lang w:val="sr-Cyrl-RS"/>
        </w:rPr>
        <w:t>у националну стандардизацију, у релативно кратком року, више од 80 % свих европских стандарда, што је подразумевало ангажовање постојећих ресурса Института искључиво на остварењу овог циља, важећим Законом о стандардизацији (у даљем тексту: Закон) ограничена је могућност Института да се бави додатним делатностима. Након што је овај циљ остварен,  стекли су се услови да Институт своје ресурсе ангажује и на другим пословима који ће допринети повећању сопствених средстава, што ће му омогућити стабилност и независност у раду и остваривање утврђених циљева, што представља један од захтева за пуноправно чланство у европским организацијама за стандардизацију.</w:t>
      </w:r>
    </w:p>
    <w:p w:rsidR="001A3927" w:rsidRDefault="001A3927" w:rsidP="001A3927">
      <w:pPr>
        <w:pStyle w:val="CommentText"/>
        <w:ind w:firstLine="426"/>
        <w:jc w:val="both"/>
        <w:rPr>
          <w:rFonts w:ascii="Times New Roman" w:hAnsi="Times New Roman"/>
          <w:spacing w:val="-2"/>
          <w:sz w:val="24"/>
          <w:szCs w:val="24"/>
          <w:lang w:val="sr-Cyrl-RS"/>
        </w:rPr>
      </w:pPr>
      <w:r>
        <w:rPr>
          <w:spacing w:val="-2"/>
          <w:sz w:val="24"/>
          <w:szCs w:val="24"/>
          <w:lang w:val="sr-Cyrl-RS"/>
        </w:rPr>
        <w:t xml:space="preserve">С тим у вези, </w:t>
      </w:r>
      <w:r>
        <w:rPr>
          <w:sz w:val="24"/>
          <w:szCs w:val="24"/>
          <w:lang w:val="sr-Cyrl-RS"/>
        </w:rPr>
        <w:t xml:space="preserve">у ревидираном Националном програму за усвајање правних тековина ЕУ (НПАА), поред већ поменутих </w:t>
      </w:r>
      <w:r>
        <w:rPr>
          <w:spacing w:val="-2"/>
          <w:sz w:val="24"/>
          <w:szCs w:val="24"/>
          <w:lang w:val="sr-Cyrl-RS"/>
        </w:rPr>
        <w:t xml:space="preserve">стратешких циљева Института у периоду од 2014. до 2018. године, као стратешки циљеви Института у наведеном периоду </w:t>
      </w:r>
      <w:r>
        <w:rPr>
          <w:sz w:val="24"/>
          <w:szCs w:val="24"/>
          <w:lang w:val="sr-Cyrl-RS"/>
        </w:rPr>
        <w:t xml:space="preserve">утврђени су и </w:t>
      </w:r>
      <w:r>
        <w:rPr>
          <w:spacing w:val="-2"/>
          <w:sz w:val="24"/>
          <w:szCs w:val="24"/>
          <w:lang w:val="sr-Cyrl-RS"/>
        </w:rPr>
        <w:t xml:space="preserve">успостављање нових и унапређење постојећих делатности </w:t>
      </w:r>
      <w:r>
        <w:rPr>
          <w:sz w:val="24"/>
          <w:szCs w:val="24"/>
          <w:lang w:val="sr-Cyrl-RS"/>
        </w:rPr>
        <w:t>Института.</w:t>
      </w:r>
      <w:r>
        <w:rPr>
          <w:spacing w:val="-2"/>
          <w:sz w:val="24"/>
          <w:szCs w:val="24"/>
          <w:lang w:val="sr-Cyrl-RS"/>
        </w:rPr>
        <w:t xml:space="preserve"> Правни основ за увођење нових активности, створиће се  изменама важећег Закона, као и подзаконских аката,  чиме ће бити обезбеђен стабилан алтернативни извор финансирања (сопствених прихода) поред прихода из буџета Републике Србије, што је један од услова за пуноправно чланство у европским организацијама за стандардизацију (</w:t>
      </w:r>
      <w:r>
        <w:rPr>
          <w:sz w:val="24"/>
          <w:szCs w:val="24"/>
          <w:lang w:val="sr-Cyrl-RS"/>
        </w:rPr>
        <w:t xml:space="preserve">Део 3, Способност преузимања обавеза из чланства у ЕУ, подтачка 3.1.1.1. Стандардизација). </w:t>
      </w:r>
    </w:p>
    <w:p w:rsidR="001A3927" w:rsidRDefault="001A3927" w:rsidP="001A3927">
      <w:pPr>
        <w:tabs>
          <w:tab w:val="left" w:pos="426"/>
        </w:tabs>
        <w:jc w:val="both"/>
        <w:rPr>
          <w:color w:val="FF0000"/>
          <w:sz w:val="24"/>
          <w:szCs w:val="24"/>
          <w:lang w:val="sr-Cyrl-RS"/>
        </w:rPr>
      </w:pPr>
      <w:r>
        <w:rPr>
          <w:lang w:val="sr-Cyrl-RS"/>
        </w:rPr>
        <w:t xml:space="preserve">       Стварањем законске могућности за обављање додатне делатности и омогућавањем стабилног извора финансирања, испунили би се услови предвиђени </w:t>
      </w:r>
      <w:r>
        <w:rPr>
          <w:iCs/>
          <w:lang w:val="sr-Cyrl-RS" w:eastAsia="en-GB"/>
        </w:rPr>
        <w:t xml:space="preserve">Упутством о критеријумима за чланство у CEN-у и CENELEC-у (у даљем тексту: Упутство 20), односно у </w:t>
      </w:r>
      <w:r>
        <w:rPr>
          <w:rStyle w:val="FontStyle29"/>
          <w:iCs/>
          <w:lang w:val="sr-Cyrl-RS"/>
        </w:rPr>
        <w:t xml:space="preserve">CEN/CENELEC Guide 20 </w:t>
      </w:r>
      <w:r>
        <w:rPr>
          <w:i/>
          <w:iCs/>
          <w:lang w:val="sr-Cyrl-RS" w:eastAsia="en-GB"/>
        </w:rPr>
        <w:t>(Guide on membership criteria of CEN and CENELEC)</w:t>
      </w:r>
      <w:r>
        <w:rPr>
          <w:lang w:val="sr-Cyrl-RS"/>
        </w:rPr>
        <w:t xml:space="preserve">, којим су дефинисани услови за пуноправно чланство у европским организацијама за стандардизацију. </w:t>
      </w:r>
    </w:p>
    <w:p w:rsidR="001A3927" w:rsidRDefault="001A3927" w:rsidP="001A3927">
      <w:pPr>
        <w:tabs>
          <w:tab w:val="left" w:pos="426"/>
        </w:tabs>
        <w:jc w:val="both"/>
        <w:rPr>
          <w:rStyle w:val="FontStyle29"/>
          <w:i w:val="0"/>
          <w:iCs/>
        </w:rPr>
      </w:pPr>
      <w:r>
        <w:rPr>
          <w:rStyle w:val="FontStyle29"/>
          <w:iCs/>
          <w:lang w:val="sr-Cyrl-RS"/>
        </w:rPr>
        <w:tab/>
        <w:t xml:space="preserve">У оквиру експланаторног скрининга за Поглавље 1 - Слобода кретања роба, одржаног од 17. до 20. јуна 2014. године, Европској комисији је упућено питање из области стандардизације које се односило на појашњење једног од критеријума за </w:t>
      </w:r>
      <w:r>
        <w:rPr>
          <w:spacing w:val="-2"/>
          <w:lang w:val="sr-Cyrl-RS"/>
        </w:rPr>
        <w:t xml:space="preserve">пуноправно чланство у европским организацијама за стандардизацију наведеног у </w:t>
      </w:r>
      <w:r>
        <w:rPr>
          <w:rStyle w:val="FontStyle29"/>
          <w:iCs/>
          <w:lang w:val="sr-Cyrl-RS"/>
        </w:rPr>
        <w:t>Упутству 20</w:t>
      </w:r>
      <w:r>
        <w:rPr>
          <w:iCs/>
          <w:lang w:val="sr-Cyrl-RS" w:eastAsia="en-GB"/>
        </w:rPr>
        <w:t>, односно појашњење подта</w:t>
      </w:r>
      <w:r>
        <w:rPr>
          <w:rStyle w:val="FontStyle29"/>
          <w:iCs/>
          <w:lang w:val="sr-Cyrl-RS"/>
        </w:rPr>
        <w:t>чке 3.3. овог документа (Неутралност интереса, непристрасност и независност структуре (без експлицитних захтева у WTO/TBT)</w:t>
      </w:r>
      <w:r>
        <w:rPr>
          <w:iCs/>
          <w:lang w:val="sr-Cyrl-RS" w:eastAsia="en-GB"/>
        </w:rPr>
        <w:t xml:space="preserve">, у делу који се односи на појашњење </w:t>
      </w:r>
      <w:r>
        <w:rPr>
          <w:rStyle w:val="FontStyle29"/>
          <w:iCs/>
          <w:lang w:val="sr-Cyrl-RS"/>
        </w:rPr>
        <w:t xml:space="preserve">„више извора финансирања”, имајући у виду да се у овој подтачки препоручује да национална тела за стандардизацију буду способна да покажу (демонстрирају) независност, као и да имају више од једног извора финансирања. </w:t>
      </w:r>
    </w:p>
    <w:p w:rsidR="001A3927" w:rsidRDefault="001A3927" w:rsidP="001A3927">
      <w:pPr>
        <w:tabs>
          <w:tab w:val="left" w:pos="426"/>
        </w:tabs>
        <w:jc w:val="both"/>
        <w:rPr>
          <w:sz w:val="24"/>
          <w:lang w:eastAsia="en-GB"/>
        </w:rPr>
      </w:pPr>
      <w:r>
        <w:rPr>
          <w:rStyle w:val="FontStyle29"/>
          <w:iCs/>
          <w:lang w:val="sr-Cyrl-RS"/>
        </w:rPr>
        <w:lastRenderedPageBreak/>
        <w:tab/>
        <w:t xml:space="preserve">У одговору добијеном електронском поштом дана 8. септембра 2014. године, Европска комисија је појаснила да се под појмом „ више извора  финансирања” који се наводи у подтачки 3.3. Упутства 20, подразумева таква структура финансирања која гарантује извесну финансијску независност националног тела за стандардизацију. Даље је појашњено да би ово значило да национално тело за стандардизацију не зависи искључиво од једног извора прихода </w:t>
      </w:r>
      <w:r>
        <w:rPr>
          <w:iCs/>
          <w:lang w:val="sr-Cyrl-RS" w:eastAsia="en-GB"/>
        </w:rPr>
        <w:t>( нпр. искључиво државни буџет), већ</w:t>
      </w:r>
      <w:r>
        <w:rPr>
          <w:b/>
          <w:iCs/>
          <w:lang w:val="sr-Cyrl-RS" w:eastAsia="en-GB"/>
        </w:rPr>
        <w:t xml:space="preserve"> </w:t>
      </w:r>
      <w:r>
        <w:rPr>
          <w:iCs/>
          <w:lang w:val="sr-Cyrl-RS" w:eastAsia="en-GB"/>
        </w:rPr>
        <w:t xml:space="preserve">да има и друге изворе финансирања, као што су продаја стандарда и других производа, чланарине, накнаде за пружене услуге (као што су обуке, семинари). Разлог за постављање овог услова је обезбеђивање непристрасности, што представља једно од начела стандардизације, и значи да је потребно да у стандардизацијске активности подједнако буду укључене све заинтересоване стране. Такође, из истих разлога је прописано да Институт може да се финансира и из других извора, као што су поклони и донације, али је потребно да затражи сагласност Владе Републике Србије, управо како би се спречило превладавање појединачних интереса у области стандардизације.  </w:t>
      </w:r>
    </w:p>
    <w:p w:rsidR="001A3927" w:rsidRDefault="001A3927" w:rsidP="001A3927">
      <w:pPr>
        <w:tabs>
          <w:tab w:val="left" w:pos="426"/>
          <w:tab w:val="left" w:pos="851"/>
          <w:tab w:val="left" w:pos="993"/>
        </w:tabs>
        <w:jc w:val="both"/>
        <w:rPr>
          <w:lang w:val="sr-Cyrl-RS"/>
        </w:rPr>
      </w:pPr>
      <w:r>
        <w:rPr>
          <w:lang w:val="sr-Cyrl-RS"/>
        </w:rPr>
        <w:t xml:space="preserve">       Уколико би се Институту укинуо други извор финансирања, националној стандардизацији би био проузрокован проблем доказивања испуњености обавезујућих услова у европским организацијама за стандардизацију. Скрећемо пажњу на чињеницу да национално тела за стандардизацију и сада сопствене приходе користе у потпуности у складу са Законом о буџетском систему, да су апропријације за коришћење ових средстава опредељене законом о буџету и да је њихово коришћење наменско, законито и опредељено за финансирање редовног рада. Такође, сопственим приходима ова институција омогућава минималан развој и покривање текућих потреба, али и изузетно велику оперативност у раду, што се посебно одражава на ефикасност и квалитет сарадње са заинтересованим странама.</w:t>
      </w:r>
    </w:p>
    <w:p w:rsidR="001A3927" w:rsidRDefault="001A3927" w:rsidP="001A3927">
      <w:pPr>
        <w:pStyle w:val="Normal1"/>
        <w:tabs>
          <w:tab w:val="left" w:pos="426"/>
        </w:tabs>
        <w:spacing w:line="240" w:lineRule="auto"/>
        <w:jc w:val="both"/>
        <w:rPr>
          <w:rFonts w:ascii="Times New Roman" w:hAnsi="Times New Roman" w:cs="Times New Roman"/>
          <w:color w:val="auto"/>
          <w:sz w:val="24"/>
          <w:szCs w:val="24"/>
          <w:lang w:val="sr-Cyrl-RS"/>
        </w:rPr>
      </w:pPr>
      <w:r>
        <w:rPr>
          <w:rFonts w:ascii="Times New Roman" w:hAnsi="Times New Roman" w:cs="Times New Roman"/>
          <w:color w:val="auto"/>
          <w:sz w:val="24"/>
          <w:szCs w:val="24"/>
          <w:lang w:val="sr-Cyrl-RS"/>
        </w:rPr>
        <w:tab/>
        <w:t xml:space="preserve">Предложеним изменама и допунама Закона, Институту би било омогућено да поред послова стандардизације, на захтев заинтересоване стране, обавља и послове пружања стручне помоћи за примену односно испуњавање захтева српских стандарда, као и послове сертификације. </w:t>
      </w:r>
    </w:p>
    <w:p w:rsidR="001A3927" w:rsidRDefault="001A3927" w:rsidP="001A3927">
      <w:pPr>
        <w:pStyle w:val="Normal1"/>
        <w:spacing w:line="240" w:lineRule="auto"/>
        <w:ind w:right="-2" w:firstLine="426"/>
        <w:jc w:val="both"/>
        <w:rPr>
          <w:rFonts w:ascii="Times New Roman" w:hAnsi="Times New Roman" w:cs="Times New Roman"/>
          <w:color w:val="auto"/>
          <w:sz w:val="24"/>
          <w:szCs w:val="24"/>
          <w:lang w:val="sr-Cyrl-RS"/>
        </w:rPr>
      </w:pPr>
      <w:r>
        <w:rPr>
          <w:rFonts w:ascii="Times New Roman" w:hAnsi="Times New Roman" w:cs="Times New Roman"/>
          <w:color w:val="auto"/>
          <w:sz w:val="24"/>
          <w:szCs w:val="24"/>
          <w:lang w:val="sr-Cyrl-RS"/>
        </w:rPr>
        <w:t>Имајући у виду да привреда, посебно мала и средња привредна друштва често не могу да примене односно испуне захтеве српских стандарда и сродних докумената без  стручне помоћи, пружање оваквог вида помоћи од стране стручних и обучених лица запослених у Институту, који имају знања и искуство у поступку доношења и тумачења стандарда, с једне стране, утицало би на подизање квалитета и конкурентности процеса, производа и услуга тих привредних субјеката, а с друге стране, Институт би на тај начин био у могућности да обезбеди додатни извор прихода.</w:t>
      </w:r>
    </w:p>
    <w:p w:rsidR="001A3927" w:rsidRDefault="001A3927" w:rsidP="001A3927">
      <w:pPr>
        <w:pStyle w:val="Normal1"/>
        <w:spacing w:line="240" w:lineRule="auto"/>
        <w:ind w:right="-2" w:firstLine="426"/>
        <w:jc w:val="both"/>
        <w:rPr>
          <w:rFonts w:ascii="Times New Roman" w:hAnsi="Times New Roman" w:cs="Times New Roman"/>
          <w:color w:val="auto"/>
          <w:sz w:val="24"/>
          <w:szCs w:val="24"/>
          <w:lang w:val="sr-Cyrl-RS"/>
        </w:rPr>
      </w:pPr>
      <w:r>
        <w:rPr>
          <w:rFonts w:ascii="Times New Roman" w:hAnsi="Times New Roman" w:cs="Times New Roman"/>
          <w:color w:val="auto"/>
          <w:sz w:val="24"/>
          <w:szCs w:val="24"/>
          <w:lang w:val="sr-Cyrl-RS"/>
        </w:rPr>
        <w:t xml:space="preserve">Истовремено, предвиђено је да се пружање стручне помоћи за примену односно испуњавање захтева српских стандарда и послови сертификације не могу обављати за потребе истог правног субјекта. Овакав начин регулисања омогућава испуњеност захтева у вези непристрасности и независности у обављању додатних делатности. </w:t>
      </w:r>
    </w:p>
    <w:p w:rsidR="001A3927" w:rsidRDefault="001A3927" w:rsidP="001A3927">
      <w:pPr>
        <w:pStyle w:val="Normal1"/>
        <w:spacing w:line="240" w:lineRule="auto"/>
        <w:ind w:right="-2" w:firstLine="426"/>
        <w:jc w:val="both"/>
        <w:rPr>
          <w:color w:val="auto"/>
          <w:lang w:val="sr-Cyrl-RS"/>
        </w:rPr>
      </w:pPr>
      <w:r>
        <w:rPr>
          <w:rFonts w:ascii="Times New Roman" w:hAnsi="Times New Roman" w:cs="Times New Roman"/>
          <w:color w:val="auto"/>
          <w:sz w:val="24"/>
          <w:szCs w:val="24"/>
          <w:lang w:val="sr-Cyrl-RS"/>
        </w:rPr>
        <w:t xml:space="preserve">Такође, важећим Законом није довољно прецизно утврђено који се стандарди и сродни документи користе као основа за доношење српских стандарда и сродних докумената, и у којим случајевима. Наиме, одредбама Закона није јасно утврђено да се национални стандарди и сродни документи других држава могу користити као основа за доношење српских стандарда само у случају када у одређеној области не постоје међународни, односно европски стандарди и сродни документи, као и да се у том случају могу доносити и изворни српски стандарди и сродни </w:t>
      </w:r>
      <w:r>
        <w:rPr>
          <w:rFonts w:ascii="Times New Roman" w:hAnsi="Times New Roman" w:cs="Times New Roman"/>
          <w:color w:val="auto"/>
          <w:sz w:val="24"/>
          <w:szCs w:val="24"/>
          <w:lang w:val="sr-Cyrl-RS"/>
        </w:rPr>
        <w:lastRenderedPageBreak/>
        <w:t>документи. Наведено прецизирање, такође је један од захтева и представља усклађивање са принципима европске регулативе из ове области, односно правилима CEN/CENELEC-а, као и са захтевима Светске трговинске организације.</w:t>
      </w:r>
      <w:r>
        <w:rPr>
          <w:color w:val="auto"/>
          <w:lang w:val="sr-Cyrl-RS"/>
        </w:rPr>
        <w:t xml:space="preserve"> </w:t>
      </w:r>
    </w:p>
    <w:p w:rsidR="001A3927" w:rsidRDefault="001A3927" w:rsidP="001A3927">
      <w:pPr>
        <w:pStyle w:val="Normal1"/>
        <w:spacing w:line="240" w:lineRule="auto"/>
        <w:ind w:right="-2" w:firstLine="426"/>
        <w:jc w:val="both"/>
        <w:rPr>
          <w:color w:val="auto"/>
          <w:lang w:val="sr-Cyrl-RS"/>
        </w:rPr>
      </w:pPr>
      <w:r>
        <w:rPr>
          <w:rFonts w:ascii="Times New Roman" w:hAnsi="Times New Roman" w:cs="Times New Roman"/>
          <w:color w:val="auto"/>
          <w:sz w:val="24"/>
          <w:szCs w:val="24"/>
          <w:lang w:val="sr-Cyrl-RS"/>
        </w:rPr>
        <w:t xml:space="preserve">Поред тога, важећим Законом је утврђена обавеза објављивања решења о доношењу и повлачењу српских стандарда и сродних докумената у „Службеном гласнику Републике Србије”, што представља трошак буџетских средстава који није занемарљив, тим пре што се информација о доношењу једног стандарда у великом броју случајева објављује два пута: као решење Института којим се тај стандард доноси и као листа стандарда који служе као подршка техничкој и другој регулативи (њиховом применом остварује се претпоставка о усаглашености са техничким прописима). Начином објављивања који је прописан важећим Законом, није јасно дефинисана разлика између стандарда на које се позивају технички прописи и других стандарда који нису део техничких прописа и чија је примена необавезна.    </w:t>
      </w:r>
      <w:bookmarkStart w:id="2" w:name="h.ka16fsb84l2u"/>
      <w:bookmarkEnd w:id="2"/>
    </w:p>
    <w:p w:rsidR="001A3927" w:rsidRDefault="001A3927" w:rsidP="001A3927">
      <w:pPr>
        <w:pStyle w:val="Normal1"/>
        <w:spacing w:line="240" w:lineRule="auto"/>
        <w:ind w:right="-2" w:firstLine="426"/>
        <w:jc w:val="both"/>
        <w:rPr>
          <w:rFonts w:ascii="Times New Roman" w:hAnsi="Times New Roman" w:cs="Times New Roman"/>
          <w:color w:val="auto"/>
          <w:sz w:val="24"/>
          <w:szCs w:val="24"/>
          <w:lang w:val="sr-Cyrl-RS"/>
        </w:rPr>
      </w:pPr>
      <w:r>
        <w:rPr>
          <w:rFonts w:ascii="Times New Roman" w:hAnsi="Times New Roman" w:cs="Times New Roman"/>
          <w:color w:val="auto"/>
          <w:sz w:val="24"/>
          <w:szCs w:val="24"/>
          <w:lang w:val="sr-Cyrl-RS"/>
        </w:rPr>
        <w:t xml:space="preserve">Изменама Закона, односно укидањем обавезе Института да решења о доношењу и повлачењу српских стандарда и сродних докумената објављује у „Службеном гласнику Републике Србије”, ће се, поред уштеде буџетских средстава, постићи и да се у „Службеном гласнику Републике Србије” објављују само ознаке и називи српских стандарда на које се позивају технички прописи, односно чијом применом се обезбеђује усаглашеност са захтевима техничких или других прописа, док ће се информације о објављивању свих стандарда објављивати у гласилу Института. </w:t>
      </w:r>
    </w:p>
    <w:p w:rsidR="001A3927" w:rsidRDefault="001A3927" w:rsidP="001A3927">
      <w:pPr>
        <w:pStyle w:val="Normal1"/>
        <w:spacing w:line="240" w:lineRule="auto"/>
        <w:ind w:right="-2" w:firstLine="426"/>
        <w:jc w:val="both"/>
        <w:rPr>
          <w:rFonts w:ascii="Times New Roman" w:hAnsi="Times New Roman"/>
          <w:color w:val="auto"/>
          <w:sz w:val="24"/>
          <w:szCs w:val="24"/>
          <w:lang w:val="sr-Cyrl-RS"/>
        </w:rPr>
      </w:pPr>
      <w:r>
        <w:rPr>
          <w:rFonts w:ascii="Times New Roman" w:hAnsi="Times New Roman"/>
          <w:color w:val="auto"/>
          <w:sz w:val="24"/>
          <w:szCs w:val="24"/>
          <w:lang w:val="sr-Cyrl-RS"/>
        </w:rPr>
        <w:t>Институт ће омогућити свим заинтересованим странама учешће у свим фазама израде и доношења стандарда и сродних докумената, а посебно ће се подстицати они субјекти који нису у могућности да равноправно учествују у активностима стандардизације. Предложеним решењима ће се, такође, у складу са европском регулативом, испунити захтеви који се односе на транспарентност рада Института у поступку доношења српских стандарда и дати подстицај свим привредним субјектима, а посебно малим и средњим привредним друштвима да активно учествују у поступку стандардизације.</w:t>
      </w:r>
    </w:p>
    <w:p w:rsidR="001A3927" w:rsidRDefault="001A3927" w:rsidP="001A3927">
      <w:pPr>
        <w:autoSpaceDE w:val="0"/>
        <w:autoSpaceDN w:val="0"/>
        <w:adjustRightInd w:val="0"/>
        <w:ind w:firstLine="426"/>
        <w:jc w:val="both"/>
        <w:rPr>
          <w:rFonts w:ascii="Times New Roman" w:hAnsi="Times New Roman"/>
          <w:sz w:val="24"/>
          <w:szCs w:val="24"/>
          <w:lang w:val="sr-Cyrl-RS"/>
        </w:rPr>
      </w:pPr>
      <w:r>
        <w:rPr>
          <w:lang w:val="sr-Cyrl-RS"/>
        </w:rPr>
        <w:t xml:space="preserve">Такође, изменама Закона предвиђено је да је Институт за стандардизацију једино   национално тело за стандардизацију у Републици Србији, што је у складу са принципима европске регулативе из ове области. </w:t>
      </w:r>
    </w:p>
    <w:p w:rsidR="001A3927" w:rsidRDefault="001A3927" w:rsidP="001A3927">
      <w:pPr>
        <w:pStyle w:val="Normal1"/>
        <w:spacing w:line="240" w:lineRule="auto"/>
        <w:ind w:right="-2" w:firstLine="426"/>
        <w:jc w:val="both"/>
        <w:rPr>
          <w:rFonts w:ascii="Times New Roman" w:hAnsi="Times New Roman" w:cs="Times New Roman"/>
          <w:color w:val="auto"/>
          <w:sz w:val="24"/>
          <w:szCs w:val="24"/>
          <w:lang w:val="sr-Cyrl-RS"/>
        </w:rPr>
      </w:pPr>
      <w:r>
        <w:rPr>
          <w:rFonts w:ascii="Times New Roman" w:hAnsi="Times New Roman" w:cs="Times New Roman"/>
          <w:color w:val="auto"/>
          <w:sz w:val="24"/>
          <w:szCs w:val="24"/>
          <w:lang w:val="sr-Cyrl-RS"/>
        </w:rPr>
        <w:t>Изменама и допунама Закона предвиђено је да се овај закон не примењује на гранске и интерне стандарде и сродне документе за производе, процесе и услуге у специфичним областима, као што су област одбране земље, железнички, ваздушни, водни саобраћај, рачуноводствене услуге и друге области, које за своје потребе могу да доносе органи државне управе, привредна друштва и друга правна лица.</w:t>
      </w:r>
    </w:p>
    <w:p w:rsidR="001A3927" w:rsidRDefault="001A3927" w:rsidP="001A3927">
      <w:pPr>
        <w:pStyle w:val="Normal1"/>
        <w:spacing w:line="240" w:lineRule="auto"/>
        <w:ind w:right="-2" w:firstLine="426"/>
        <w:jc w:val="both"/>
        <w:rPr>
          <w:color w:val="auto"/>
          <w:lang w:val="sr-Cyrl-RS"/>
        </w:rPr>
      </w:pPr>
      <w:r>
        <w:rPr>
          <w:rFonts w:ascii="Times New Roman" w:hAnsi="Times New Roman"/>
          <w:color w:val="auto"/>
          <w:sz w:val="24"/>
          <w:szCs w:val="24"/>
          <w:lang w:val="sr-Cyrl-RS"/>
        </w:rPr>
        <w:t xml:space="preserve">Питања која су предмет овог закона нису могла бити уређена на други начин, осим доношењем измена и допуна Закона о стандардизацији, с обзиром </w:t>
      </w:r>
      <w:r>
        <w:rPr>
          <w:rFonts w:ascii="Times New Roman" w:hAnsi="Times New Roman" w:cs="Times New Roman"/>
          <w:color w:val="auto"/>
          <w:sz w:val="24"/>
          <w:szCs w:val="24"/>
          <w:lang w:val="sr-Cyrl-RS"/>
        </w:rPr>
        <w:t>да су одредбама постојећег Закона уређена питања из којих су проистекли проблеми које је потребно решити. Имајући у виду да је прописивање послова и обавеза Института предмет законских одредаба, додатни послови и нове обавезе Института могу се утврдити само изменама и допунама Закона. Такође, jедино је доношењем измена и допуна Закона могуће извршити усклађивање националног законодавства у области стандардизације са актуелном европском регулативом у тој области и на свеобухватан начин решити све уочене проблеме.</w:t>
      </w:r>
    </w:p>
    <w:p w:rsidR="001A3927" w:rsidRDefault="001A3927" w:rsidP="001A3927">
      <w:pPr>
        <w:pStyle w:val="Normal11"/>
        <w:spacing w:line="240" w:lineRule="auto"/>
        <w:ind w:firstLine="708"/>
        <w:jc w:val="both"/>
        <w:rPr>
          <w:rFonts w:ascii="Times New Roman" w:hAnsi="Times New Roman" w:cs="Times New Roman"/>
          <w:color w:val="auto"/>
          <w:sz w:val="24"/>
          <w:szCs w:val="24"/>
          <w:lang w:val="sr-Cyrl-RS"/>
        </w:rPr>
      </w:pPr>
    </w:p>
    <w:p w:rsidR="001A3927" w:rsidRDefault="001A3927" w:rsidP="001A3927">
      <w:pPr>
        <w:pStyle w:val="ListParagraph"/>
        <w:numPr>
          <w:ilvl w:val="0"/>
          <w:numId w:val="6"/>
        </w:numPr>
        <w:tabs>
          <w:tab w:val="left" w:pos="426"/>
        </w:tabs>
        <w:spacing w:after="0" w:line="240" w:lineRule="auto"/>
        <w:ind w:left="0" w:firstLine="0"/>
        <w:jc w:val="both"/>
        <w:rPr>
          <w:rFonts w:ascii="Times New Roman" w:hAnsi="Times New Roman"/>
          <w:sz w:val="24"/>
          <w:szCs w:val="24"/>
          <w:lang w:val="sr-Cyrl-RS"/>
        </w:rPr>
      </w:pPr>
      <w:r>
        <w:rPr>
          <w:rFonts w:ascii="Times New Roman" w:hAnsi="Times New Roman"/>
          <w:sz w:val="24"/>
          <w:szCs w:val="24"/>
          <w:lang w:val="sr-Cyrl-RS"/>
        </w:rPr>
        <w:lastRenderedPageBreak/>
        <w:t>ОБЈАШЊЕЊЕ ОСНОВНИХ ПРАВНИХ ИНСТИТУТА И ПОЈЕДИНАЧНИХ РЕШЕЊА</w:t>
      </w:r>
    </w:p>
    <w:p w:rsidR="001A3927" w:rsidRDefault="001A3927" w:rsidP="001A3927">
      <w:pPr>
        <w:tabs>
          <w:tab w:val="left" w:pos="284"/>
          <w:tab w:val="left" w:pos="426"/>
        </w:tabs>
        <w:jc w:val="both"/>
        <w:rPr>
          <w:rFonts w:ascii="Times New Roman" w:hAnsi="Times New Roman"/>
          <w:sz w:val="24"/>
          <w:szCs w:val="24"/>
          <w:lang w:val="sr-Cyrl-RS"/>
        </w:rPr>
      </w:pPr>
    </w:p>
    <w:p w:rsidR="001A3927" w:rsidRDefault="001A3927" w:rsidP="001A3927">
      <w:pPr>
        <w:tabs>
          <w:tab w:val="left" w:pos="284"/>
          <w:tab w:val="left" w:pos="426"/>
        </w:tabs>
        <w:jc w:val="both"/>
        <w:rPr>
          <w:lang w:val="sr-Cyrl-RS"/>
        </w:rPr>
      </w:pPr>
      <w:r>
        <w:rPr>
          <w:lang w:val="sr-Cyrl-RS"/>
        </w:rPr>
        <w:tab/>
        <w:t xml:space="preserve">   Чланом 1. измењен је члан 1. Закона којим је поред осталих предмета уређивања овог закона, прописано и повлачење стандарда, које до сада није било предвиђено, а представља једну од значајнијих активности националног тела за стандардизацију. </w:t>
      </w:r>
    </w:p>
    <w:p w:rsidR="001A3927" w:rsidRDefault="001A3927" w:rsidP="001A3927">
      <w:pPr>
        <w:tabs>
          <w:tab w:val="left" w:pos="284"/>
          <w:tab w:val="left" w:pos="426"/>
        </w:tabs>
        <w:jc w:val="both"/>
        <w:rPr>
          <w:lang w:val="sr-Cyrl-RS"/>
        </w:rPr>
      </w:pPr>
      <w:r>
        <w:rPr>
          <w:lang w:val="sr-Cyrl-RS"/>
        </w:rPr>
        <w:t xml:space="preserve">        Чланом 2. измењен је члан 2. Закона тако што су речи: „ тач. 12) и 13)” замењене речима: „тач. 16) и 17)”. Наведена измена је последица измене члана 3. Закона према којој је у измењеном члану 3. значење појмова: међународне организације за стандардизацију и  европске организације за стандардизацију дефинисано тачкама 16) и 17), а не тачкама 12) и 13).</w:t>
      </w:r>
    </w:p>
    <w:p w:rsidR="001A3927" w:rsidRDefault="001A3927" w:rsidP="001A3927">
      <w:pPr>
        <w:tabs>
          <w:tab w:val="left" w:pos="284"/>
          <w:tab w:val="left" w:pos="426"/>
        </w:tabs>
        <w:jc w:val="both"/>
        <w:rPr>
          <w:lang w:val="sr-Cyrl-RS"/>
        </w:rPr>
      </w:pPr>
      <w:r>
        <w:rPr>
          <w:lang w:val="sr-Cyrl-RS"/>
        </w:rPr>
        <w:tab/>
      </w:r>
      <w:r>
        <w:rPr>
          <w:lang w:val="sr-Cyrl-RS"/>
        </w:rPr>
        <w:tab/>
        <w:t>Такође, овај члан Закона је допуњен новим ст. 2. и 3. којима је предвиђено да се овај закон не примењује на гранске и интерне стандарде и сродне документе за производе, процесе и услуге у области одбране земље, железничког, ваздушног, водног саобраћаја, рачуноводствених услуга и у другим областима, које за своје потребе могу доносити органи државне управе, привредна друштва и друга правна лица, као и да се посебним законима и другим прописима, уређују доношење, означавање и примена стандарда и сродних докумената и друга питања од значаја за стандардизацију у областима из става 2. овог члана.</w:t>
      </w:r>
    </w:p>
    <w:p w:rsidR="001A3927" w:rsidRDefault="001A3927" w:rsidP="001A3927">
      <w:pPr>
        <w:tabs>
          <w:tab w:val="left" w:pos="284"/>
          <w:tab w:val="left" w:pos="426"/>
        </w:tabs>
        <w:jc w:val="both"/>
        <w:rPr>
          <w:lang w:val="sr-Cyrl-RS"/>
        </w:rPr>
      </w:pPr>
      <w:r>
        <w:rPr>
          <w:lang w:val="sr-Cyrl-RS"/>
        </w:rPr>
        <w:tab/>
      </w:r>
      <w:r>
        <w:rPr>
          <w:lang w:val="sr-Cyrl-RS"/>
        </w:rPr>
        <w:tab/>
        <w:t xml:space="preserve">Чланом 3. измењен је члан 3. Закона којим је дефинисано значење појединих израза употребљених у Закону, тако што је тај члан допуњен значењем израза: хармонизовани стандард, национални стандард, нацрт стандарда, техничка спецификација и национално тело за стандардизацију. Такође, измењена су значења појединих израза и усклађена са новом европском регулативом у овој области. </w:t>
      </w:r>
    </w:p>
    <w:p w:rsidR="001A3927" w:rsidRDefault="001A3927" w:rsidP="001A3927">
      <w:pPr>
        <w:tabs>
          <w:tab w:val="left" w:pos="284"/>
          <w:tab w:val="left" w:pos="426"/>
        </w:tabs>
        <w:jc w:val="both"/>
        <w:rPr>
          <w:lang w:val="sr-Cyrl-RS"/>
        </w:rPr>
      </w:pPr>
      <w:r>
        <w:rPr>
          <w:lang w:val="sr-Cyrl-RS"/>
        </w:rPr>
        <w:tab/>
      </w:r>
      <w:r>
        <w:rPr>
          <w:lang w:val="sr-Cyrl-RS"/>
        </w:rPr>
        <w:tab/>
        <w:t>Чланом 4. измењен је члан 6. став 1. Закона на следећи начин: основним текстом овог закона било је прописано да ће, ради остваривања циљева из члана 5. овог закона, Влада одлуком основати Институт за стандардизацију Србије (у даљем тексту: Институт), као национално тело за стандардизацију у Републици Србији.  Изменом овог става предвиђено је да је Институт за стандардизацију Србије (у даљем тексту: Институт) једино национално тело за стандардизацију у Републици Србији. Овим је први пут законом дефинисано да у Републици Србији постоји само једно тело за стандардизацију, што је један од захтева европске регулативе у области стандардизације.</w:t>
      </w:r>
    </w:p>
    <w:p w:rsidR="001A3927" w:rsidRDefault="001A3927" w:rsidP="001A3927">
      <w:pPr>
        <w:tabs>
          <w:tab w:val="left" w:pos="284"/>
          <w:tab w:val="left" w:pos="426"/>
        </w:tabs>
        <w:jc w:val="both"/>
        <w:rPr>
          <w:lang w:val="sr-Cyrl-RS"/>
        </w:rPr>
      </w:pPr>
      <w:r>
        <w:rPr>
          <w:lang w:val="sr-Cyrl-RS"/>
        </w:rPr>
        <w:tab/>
      </w:r>
      <w:r>
        <w:rPr>
          <w:lang w:val="sr-Cyrl-RS"/>
        </w:rPr>
        <w:tab/>
        <w:t>Истовремено, после става 1. додати су нови ст. 2. и 3. којима је предвиђено да је Република Србија оснивач Института, за коју оснивачка права врши Влада, у складу са законом, као и да министарство надлежно за послове стандардизације информише међународне и друге организације о националном телу за стандардизацију у Републици Србији у складу са прописом којим се уређује поступак пријављивања и начин информисања о техничким прописима и стандардима.</w:t>
      </w:r>
    </w:p>
    <w:p w:rsidR="001A3927" w:rsidRDefault="001A3927" w:rsidP="001A3927">
      <w:pPr>
        <w:tabs>
          <w:tab w:val="left" w:pos="284"/>
          <w:tab w:val="left" w:pos="426"/>
        </w:tabs>
        <w:ind w:firstLine="426"/>
        <w:jc w:val="both"/>
        <w:rPr>
          <w:lang w:val="sr-Cyrl-RS"/>
        </w:rPr>
      </w:pPr>
      <w:r>
        <w:rPr>
          <w:lang w:val="sr-Cyrl-RS"/>
        </w:rPr>
        <w:t>Такође, као последица измене и допуне овог члана Закона, предвиђено је да досадашњи ст. 2, 3. и 4. постају ст. 4, 5. и 6.</w:t>
      </w:r>
    </w:p>
    <w:p w:rsidR="001A3927" w:rsidRDefault="001A3927" w:rsidP="001A3927">
      <w:pPr>
        <w:tabs>
          <w:tab w:val="left" w:pos="284"/>
          <w:tab w:val="left" w:pos="426"/>
        </w:tabs>
        <w:jc w:val="both"/>
        <w:rPr>
          <w:lang w:val="sr-Cyrl-RS"/>
        </w:rPr>
      </w:pPr>
      <w:r>
        <w:rPr>
          <w:lang w:val="sr-Cyrl-RS"/>
        </w:rPr>
        <w:lastRenderedPageBreak/>
        <w:tab/>
      </w:r>
      <w:r>
        <w:rPr>
          <w:lang w:val="sr-Cyrl-RS"/>
        </w:rPr>
        <w:tab/>
        <w:t xml:space="preserve">Чланом 5. допуњен је члан </w:t>
      </w:r>
      <w:r>
        <w:rPr>
          <w:lang w:val="sr-Cyrl-RS" w:eastAsia="sr-Latn-CS"/>
        </w:rPr>
        <w:t xml:space="preserve">7. став 1. </w:t>
      </w:r>
      <w:r>
        <w:rPr>
          <w:lang w:val="sr-Cyrl-RS"/>
        </w:rPr>
        <w:t>Закона</w:t>
      </w:r>
      <w:r>
        <w:rPr>
          <w:lang w:val="sr-Cyrl-RS" w:eastAsia="sr-Latn-CS"/>
        </w:rPr>
        <w:t xml:space="preserve"> којим су прописани послови које обавља Институт, тако што су у ставу 1. овог члана додате тач. 15а)</w:t>
      </w:r>
      <w:r>
        <w:rPr>
          <w:lang w:val="sr-Cyrl-RS"/>
        </w:rPr>
        <w:t xml:space="preserve"> и 15б) којима је предвиђено да Институт пружа стручну помоћ за примену односно испуњавање захтева српских стандарда и обавља послове сертификације производа, система менаџмента и особа.</w:t>
      </w:r>
    </w:p>
    <w:p w:rsidR="001A3927" w:rsidRDefault="001A3927" w:rsidP="001A3927">
      <w:pPr>
        <w:tabs>
          <w:tab w:val="left" w:pos="284"/>
          <w:tab w:val="left" w:pos="426"/>
        </w:tabs>
        <w:jc w:val="both"/>
        <w:rPr>
          <w:lang w:val="sr-Cyrl-RS"/>
        </w:rPr>
      </w:pPr>
      <w:r>
        <w:rPr>
          <w:lang w:val="sr-Cyrl-RS"/>
        </w:rPr>
        <w:tab/>
      </w:r>
      <w:r>
        <w:rPr>
          <w:lang w:val="sr-Cyrl-RS"/>
        </w:rPr>
        <w:tab/>
        <w:t>Такође, као последица допуне члана 7. став 1. тач. 15а) и 15б), измењен је став 2. тако што је предвиђено да се речи: „тач. 1), 2), 4), 8), 13), 14) и 15)” замене речима: „тач. 1), 2), 4), 8), 13), 14), 15) и 15а)”.</w:t>
      </w:r>
    </w:p>
    <w:p w:rsidR="001A3927" w:rsidRDefault="001A3927" w:rsidP="001A3927">
      <w:pPr>
        <w:tabs>
          <w:tab w:val="left" w:pos="284"/>
          <w:tab w:val="left" w:pos="426"/>
        </w:tabs>
        <w:jc w:val="both"/>
        <w:rPr>
          <w:lang w:val="sr-Cyrl-RS"/>
        </w:rPr>
      </w:pPr>
      <w:r>
        <w:rPr>
          <w:lang w:val="sr-Cyrl-RS"/>
        </w:rPr>
        <w:tab/>
      </w:r>
      <w:r>
        <w:rPr>
          <w:lang w:val="sr-Cyrl-RS"/>
        </w:rPr>
        <w:tab/>
      </w:r>
      <w:r>
        <w:rPr>
          <w:lang w:val="sr-Cyrl-RS" w:eastAsia="sr-Latn-CS"/>
        </w:rPr>
        <w:t xml:space="preserve">Истовремено, после става 2. додат је нови став 3. којим је предвиђено да Институт не може да пружа стручну помоћ за примену односно испуњавање захтева српских стандарда и не може да обавља послове сертификације </w:t>
      </w:r>
      <w:r>
        <w:rPr>
          <w:lang w:val="sr-Cyrl-RS"/>
        </w:rPr>
        <w:t xml:space="preserve">производа, система менаџмента и особа </w:t>
      </w:r>
      <w:r>
        <w:rPr>
          <w:lang w:val="sr-Cyrl-RS" w:eastAsia="sr-Latn-CS"/>
        </w:rPr>
        <w:t>за потребе истог правног субјекта. Предложеним решењем спречава се сукоб интереса, односно обезбеђује се непристрасност у обављању предвиђених послова. Наиме, уколико је Институт пружио стручну помоћ за правилну примену захтева српских стандарда једном правном субјекту, не сме вршити оцењивање исправности примене тих захтева кроз процес сертификације за потребе тог истог субјекта.</w:t>
      </w:r>
    </w:p>
    <w:p w:rsidR="001A3927" w:rsidRDefault="001A3927" w:rsidP="001A3927">
      <w:pPr>
        <w:tabs>
          <w:tab w:val="left" w:pos="284"/>
          <w:tab w:val="left" w:pos="426"/>
        </w:tabs>
        <w:jc w:val="both"/>
        <w:rPr>
          <w:lang w:val="sr-Cyrl-RS"/>
        </w:rPr>
      </w:pPr>
      <w:r>
        <w:rPr>
          <w:lang w:val="sr-Cyrl-RS"/>
        </w:rPr>
        <w:tab/>
      </w:r>
      <w:r>
        <w:rPr>
          <w:lang w:val="sr-Cyrl-RS"/>
        </w:rPr>
        <w:tab/>
      </w:r>
      <w:r>
        <w:rPr>
          <w:lang w:val="sr-Cyrl-RS" w:eastAsia="sr-Latn-CS"/>
        </w:rPr>
        <w:t>Осим тога, као последица додавања новог става 3, предвиђено је да досадашњи ст. 3. и 4. постају ст. 4. и 5.</w:t>
      </w:r>
    </w:p>
    <w:p w:rsidR="001A3927" w:rsidRDefault="001A3927" w:rsidP="001A3927">
      <w:pPr>
        <w:tabs>
          <w:tab w:val="left" w:pos="284"/>
          <w:tab w:val="left" w:pos="426"/>
        </w:tabs>
        <w:jc w:val="both"/>
        <w:rPr>
          <w:lang w:val="sr-Cyrl-RS"/>
        </w:rPr>
      </w:pPr>
      <w:r>
        <w:rPr>
          <w:lang w:val="sr-Cyrl-RS"/>
        </w:rPr>
        <w:tab/>
      </w:r>
      <w:r>
        <w:rPr>
          <w:lang w:val="sr-Cyrl-RS"/>
        </w:rPr>
        <w:tab/>
        <w:t xml:space="preserve">Чланом 6. измењен је члан 8. став 4. Закона ради усклађивања ове одредбе са одредбама Закона о буџетском систему („Службени гласник РС”, бр. </w:t>
      </w:r>
      <w:hyperlink r:id="rId8" w:anchor="zk54/09" w:history="1">
        <w:r>
          <w:rPr>
            <w:rStyle w:val="Hyperlink"/>
            <w:lang w:val="sr-Cyrl-RS"/>
          </w:rPr>
          <w:t>54/09</w:t>
        </w:r>
      </w:hyperlink>
      <w:r>
        <w:rPr>
          <w:lang w:val="sr-Cyrl-RS"/>
        </w:rPr>
        <w:t xml:space="preserve"> ….</w:t>
      </w:r>
      <w:hyperlink r:id="rId9" w:anchor="zk108/13" w:history="1">
        <w:r>
          <w:rPr>
            <w:rStyle w:val="Hyperlink"/>
            <w:lang w:val="sr-Cyrl-RS"/>
          </w:rPr>
          <w:t>108/13</w:t>
        </w:r>
      </w:hyperlink>
      <w:r>
        <w:rPr>
          <w:lang w:val="sr-Cyrl-RS"/>
        </w:rPr>
        <w:t>). Наиме, чланом 18. тачка (1) наведеног Закона, предвиђено је да се накнаде могу уводити за коришћење добара која су посебним законом утврђена као природна богатства, односно добра од општег интереса и добра у општој употреби. Иако стандарди представљају добро у општој употреби,  тачком (2) истог члана предвиђено је да се накнаде, основица, њихова висина, начин утврђивања и плаћања, као и припадност уређују посебним законом који предлаже и спроводи министарство надлежно за финансије. Имајући у виду претходно изнето, из члана 8. предложеним законом, избрисан је термин накнаде.</w:t>
      </w:r>
    </w:p>
    <w:p w:rsidR="001A3927" w:rsidRDefault="001A3927" w:rsidP="001A3927">
      <w:pPr>
        <w:tabs>
          <w:tab w:val="left" w:pos="284"/>
          <w:tab w:val="left" w:pos="426"/>
        </w:tabs>
        <w:jc w:val="both"/>
        <w:rPr>
          <w:lang w:val="sr-Cyrl-RS"/>
        </w:rPr>
      </w:pPr>
      <w:r>
        <w:rPr>
          <w:lang w:val="sr-Cyrl-RS"/>
        </w:rPr>
        <w:tab/>
        <w:t xml:space="preserve">   Чланом 7. измењен је члан 9. став 1. Закона, у коме су речи: „Института обезбеђују се”, замењене речима: „ Институт обезбеђује”.</w:t>
      </w:r>
    </w:p>
    <w:p w:rsidR="001A3927" w:rsidRDefault="001A3927" w:rsidP="001A3927">
      <w:pPr>
        <w:tabs>
          <w:tab w:val="left" w:pos="284"/>
          <w:tab w:val="left" w:pos="426"/>
        </w:tabs>
        <w:jc w:val="both"/>
        <w:rPr>
          <w:lang w:val="sr-Cyrl-RS"/>
        </w:rPr>
      </w:pPr>
      <w:r>
        <w:rPr>
          <w:lang w:val="sr-Cyrl-RS"/>
        </w:rPr>
        <w:tab/>
        <w:t xml:space="preserve">   Такође, у члану 9. став 1. тачка 1) Закона, уместо формулације: „наплатом чланарине”, употребљена је формулација: „из прихода које оствари наплатом чланарина” ради терминолошког усклађивања са другим тачкама истог члана. Институт је по узору на сва друга национална тела за стандардизацију, формиран на принципу удружења, чији чланови плаћају чланарину. Институт је у обавези да организује чланство Института, а чланови чине Скупштину која је највиши орган Института и доноси најважније одлуке о његовом раду.</w:t>
      </w:r>
    </w:p>
    <w:p w:rsidR="001A3927" w:rsidRDefault="001A3927" w:rsidP="001A3927">
      <w:pPr>
        <w:tabs>
          <w:tab w:val="left" w:pos="284"/>
          <w:tab w:val="left" w:pos="426"/>
        </w:tabs>
        <w:jc w:val="both"/>
        <w:rPr>
          <w:lang w:val="sr-Cyrl-RS"/>
        </w:rPr>
      </w:pPr>
      <w:r>
        <w:rPr>
          <w:lang w:val="sr-Cyrl-RS"/>
        </w:rPr>
        <w:lastRenderedPageBreak/>
        <w:tab/>
      </w:r>
      <w:r>
        <w:rPr>
          <w:lang w:val="sr-Cyrl-RS"/>
        </w:rPr>
        <w:tab/>
        <w:t xml:space="preserve"> Истовремено, у члану 9. став 1. тачка 3) Закона, уместо формулације: „наплатом услуга”, употребљена је формулација: „из прихода које оствари продајом услуга” и извршено терминолошко усклађивање са чланом 19. Закона о буџетском систему („Службени гласник РС”, бр. </w:t>
      </w:r>
      <w:hyperlink r:id="rId10" w:anchor="zk54/09" w:history="1">
        <w:r>
          <w:rPr>
            <w:rStyle w:val="Hyperlink"/>
            <w:lang w:val="sr-Cyrl-RS"/>
          </w:rPr>
          <w:t>54/09</w:t>
        </w:r>
      </w:hyperlink>
      <w:r>
        <w:rPr>
          <w:lang w:val="sr-Cyrl-RS"/>
        </w:rPr>
        <w:t>, ….</w:t>
      </w:r>
      <w:hyperlink r:id="rId11" w:anchor="zk108/13" w:history="1">
        <w:r>
          <w:rPr>
            <w:rStyle w:val="Hyperlink"/>
            <w:lang w:val="sr-Cyrl-RS"/>
          </w:rPr>
          <w:t>108/13</w:t>
        </w:r>
      </w:hyperlink>
      <w:r>
        <w:rPr>
          <w:lang w:val="sr-Cyrl-RS"/>
        </w:rPr>
        <w:t xml:space="preserve">). </w:t>
      </w:r>
    </w:p>
    <w:p w:rsidR="001A3927" w:rsidRDefault="001A3927" w:rsidP="001A3927">
      <w:pPr>
        <w:tabs>
          <w:tab w:val="left" w:pos="284"/>
          <w:tab w:val="left" w:pos="426"/>
          <w:tab w:val="left" w:pos="851"/>
        </w:tabs>
        <w:jc w:val="both"/>
        <w:rPr>
          <w:lang w:val="sr-Cyrl-RS"/>
        </w:rPr>
      </w:pPr>
      <w:r>
        <w:rPr>
          <w:lang w:val="sr-Cyrl-RS"/>
        </w:rPr>
        <w:t xml:space="preserve">        Чланом 2. Закона о буџетском систему, важно је дефинисати да су у складу са ставом 1, тачка 18б) овог члана јавне услуге све услуге које су корисници јавних средстава у складу са законом обавезни да пружају правним и физичким лицима. Јавне услуге које је Институт обавезан да пружа правним и физичким лицима су искључиво информације о стандардима, које Институт свим правним и физичким лицима обезбеђује бесплатно, што значи да од пружања јавних услуга Институт не остварује приходе. Такође, Институт продаје стандарде и сродне документе који представљају добро. Све друге услуге које Институт обезбеђује, посебно се уговарају са правним и физичким лицима на основу њихове слободне воље. </w:t>
      </w:r>
    </w:p>
    <w:p w:rsidR="001A3927" w:rsidRDefault="001A3927" w:rsidP="001A3927">
      <w:pPr>
        <w:autoSpaceDE w:val="0"/>
        <w:autoSpaceDN w:val="0"/>
        <w:adjustRightInd w:val="0"/>
        <w:ind w:firstLine="426"/>
        <w:jc w:val="both"/>
        <w:rPr>
          <w:lang w:val="sr-Cyrl-RS"/>
        </w:rPr>
      </w:pPr>
      <w:r>
        <w:rPr>
          <w:lang w:val="sr-Cyrl-RS"/>
        </w:rPr>
        <w:t>Такође, у члану 9. Закона измењен је и став 2. тако што је предвиђено да се потребна средства за рад Института утврђују годишњим програмом рада чији је саставни део финансијски план. Истовремено, додат je нови став 3. којим је прописано да средства остварена од прихода из става 1. тачка 3) овог члана припадају буџету Републике Србије и користе се у складу са законом којим се уређује буџетски систем”.</w:t>
      </w:r>
    </w:p>
    <w:p w:rsidR="001A3927" w:rsidRDefault="001A3927" w:rsidP="001A3927">
      <w:pPr>
        <w:tabs>
          <w:tab w:val="left" w:pos="9026"/>
        </w:tabs>
        <w:autoSpaceDE w:val="0"/>
        <w:autoSpaceDN w:val="0"/>
        <w:adjustRightInd w:val="0"/>
        <w:jc w:val="both"/>
        <w:rPr>
          <w:lang w:val="sr-Cyrl-RS"/>
        </w:rPr>
      </w:pPr>
      <w:r>
        <w:rPr>
          <w:lang w:val="sr-Cyrl-RS"/>
        </w:rPr>
        <w:t>Такође је у овом члану додат нови став 4. којим је прописано да се садржина годишњег програма рада ближе уређује одлуком о оснивању.  Оваквим решењем прецизирано је да годишњи програм рада садржи финансијски план, у складу са одлуком о оснивању.</w:t>
      </w:r>
    </w:p>
    <w:p w:rsidR="001A3927" w:rsidRDefault="001A3927" w:rsidP="001A3927">
      <w:pPr>
        <w:tabs>
          <w:tab w:val="left" w:pos="426"/>
          <w:tab w:val="left" w:pos="709"/>
        </w:tabs>
        <w:autoSpaceDE w:val="0"/>
        <w:autoSpaceDN w:val="0"/>
        <w:adjustRightInd w:val="0"/>
        <w:jc w:val="both"/>
        <w:rPr>
          <w:lang w:val="sr-Cyrl-RS"/>
        </w:rPr>
      </w:pPr>
      <w:r>
        <w:rPr>
          <w:lang w:val="sr-Cyrl-RS"/>
        </w:rPr>
        <w:tab/>
        <w:t>Чланом 8. измењен је члан 12. Закона тако што је предвиђено да се српски стандарди доносе, повлаче и објављују у складу са овим законом и правилима Института која су усклађена са правилима међународних и европских организација за стандардизацију и Кодексом добре праксе за израду, доношење и примену стандарда из Споразума о техничким препрекама трговини Светске трговинске организације.</w:t>
      </w:r>
    </w:p>
    <w:p w:rsidR="001A3927" w:rsidRDefault="001A3927" w:rsidP="001A3927">
      <w:pPr>
        <w:tabs>
          <w:tab w:val="left" w:pos="426"/>
          <w:tab w:val="left" w:pos="709"/>
        </w:tabs>
        <w:autoSpaceDE w:val="0"/>
        <w:autoSpaceDN w:val="0"/>
        <w:adjustRightInd w:val="0"/>
        <w:jc w:val="both"/>
        <w:rPr>
          <w:lang w:val="sr-Cyrl-RS"/>
        </w:rPr>
      </w:pPr>
      <w:r>
        <w:rPr>
          <w:lang w:val="sr-Cyrl-RS" w:eastAsia="en-GB"/>
        </w:rPr>
        <w:tab/>
        <w:t>Такође, овим чланом предвиђено је да се с</w:t>
      </w:r>
      <w:r>
        <w:rPr>
          <w:lang w:val="sr-Cyrl-RS"/>
        </w:rPr>
        <w:t>рпски стандарди доносе на основу Плана доношења српских стандарда који се утврђује најмање једанпут годишње и који је јавно доступан, на интернет страници Института, као и да План доношења српских стандарда садржи информацију о броју међународних и европских стандарда за које се, на основу доступних података међународних и европских организација за стандардизацију, очекује да ће их Институт преузети у систем националне стандардизације, као и динамику израде и доношења српских стандарда који нису настали идентичним или еквивалентним преузимањем међународних или европских стандарда, као и да се садржина Плана доношења српских стандарда ближе уређује одлуком о оснивању.</w:t>
      </w:r>
    </w:p>
    <w:p w:rsidR="001A3927" w:rsidRDefault="001A3927" w:rsidP="001A3927">
      <w:pPr>
        <w:tabs>
          <w:tab w:val="left" w:pos="426"/>
          <w:tab w:val="left" w:pos="709"/>
        </w:tabs>
        <w:autoSpaceDE w:val="0"/>
        <w:autoSpaceDN w:val="0"/>
        <w:adjustRightInd w:val="0"/>
        <w:jc w:val="both"/>
        <w:rPr>
          <w:lang w:val="sr-Cyrl-RS"/>
        </w:rPr>
      </w:pPr>
      <w:r>
        <w:rPr>
          <w:lang w:val="sr-Cyrl-RS"/>
        </w:rPr>
        <w:tab/>
        <w:t xml:space="preserve">Поред тога, за разлику од става 2. овог члана основног текста Закона, којим је прописано да се као основа за доношење српских стандарда користе, по правилу међународни стандарди и сродни документи, а да у случају да у одређеној области не постоји међународни стандард или је важећи међународни стандард неодговарајући, као основа се могу користити европски или национални </w:t>
      </w:r>
      <w:r>
        <w:rPr>
          <w:lang w:val="sr-Cyrl-RS"/>
        </w:rPr>
        <w:lastRenderedPageBreak/>
        <w:t xml:space="preserve">стандарди и сродни документи других држава,  изменом овог члана закона предвиђено је да се као основа за доношење српских стандарда користе по правилу међународни, односно европски стандарди и сродни документи, као и да у случају да у одређеној области не постоји међународни односно европски стандард и сродни документ или је важећи међународни односно европски стандард неодговарајући, као основа се могу користити национални стандарди и сродни документи других држава или се могу доносити изворни српски стандарди и сродни документи. </w:t>
      </w:r>
    </w:p>
    <w:p w:rsidR="001A3927" w:rsidRDefault="001A3927" w:rsidP="001A3927">
      <w:pPr>
        <w:autoSpaceDE w:val="0"/>
        <w:autoSpaceDN w:val="0"/>
        <w:adjustRightInd w:val="0"/>
        <w:ind w:firstLine="426"/>
        <w:jc w:val="both"/>
        <w:rPr>
          <w:lang w:val="sr-Cyrl-RS"/>
        </w:rPr>
      </w:pPr>
      <w:r>
        <w:rPr>
          <w:lang w:val="sr-Cyrl-RS"/>
        </w:rPr>
        <w:t>Наведеном изменом се прецизира да се национални стандарди и сродни документи других држава могу користити као основа за доношење српских стандарда само у случају када не постоје међународни, односно европски стандарди и сродни документи у тој области, као и да се само у том случају могу доносити и изворни српски стандарди и сродни документи.</w:t>
      </w:r>
    </w:p>
    <w:p w:rsidR="001A3927" w:rsidRDefault="001A3927" w:rsidP="001A3927">
      <w:pPr>
        <w:autoSpaceDE w:val="0"/>
        <w:autoSpaceDN w:val="0"/>
        <w:adjustRightInd w:val="0"/>
        <w:ind w:firstLine="426"/>
        <w:jc w:val="both"/>
        <w:rPr>
          <w:lang w:val="sr-Cyrl-RS"/>
        </w:rPr>
      </w:pPr>
      <w:r>
        <w:rPr>
          <w:lang w:val="sr-Cyrl-RS"/>
        </w:rPr>
        <w:t xml:space="preserve">Такође, у наведеном члану је предвиђено да обавештење о покретању поступка за доношење српског стандарда, а када је то неопходно и за доношење сродног документа, као и обавештење о стављању нацрта стандарда или сродног документа на јавну расправу, Институт објављује у свом гласилу и обезбеђује свим заинтересованим странама приступ тим нацртима српских стандарда и сродних докумената. </w:t>
      </w:r>
    </w:p>
    <w:p w:rsidR="001A3927" w:rsidRDefault="001A3927" w:rsidP="001A3927">
      <w:pPr>
        <w:autoSpaceDE w:val="0"/>
        <w:autoSpaceDN w:val="0"/>
        <w:adjustRightInd w:val="0"/>
        <w:ind w:firstLine="426"/>
        <w:jc w:val="both"/>
        <w:rPr>
          <w:lang w:val="sr-Cyrl-RS"/>
        </w:rPr>
      </w:pPr>
      <w:r>
        <w:rPr>
          <w:lang w:val="sr-Cyrl-RS"/>
        </w:rPr>
        <w:t>Истовремено, овим чланом Закона је предвиђено учешће заинтересованих страна у поступку стандардизације. Наиме, предвиђено је да Институт омогућава учешће свим заинтересованим странама у поступку  доношења српских стандарда и сродних докумената, као и приступ донетим српским стандардима и сродним документима, као и да се начин учешћа свих заинтересованих страна у поступку доношења српских стандарда и сродних докумената, приступ донетим српским стандардима и сродним документима, као и подстицаји и олакшице за мала и средња привредна друштва и предузетнике, удружења потрошача и невладине организације, ближе уређује општим актом Института.</w:t>
      </w:r>
    </w:p>
    <w:p w:rsidR="001A3927" w:rsidRDefault="001A3927" w:rsidP="001A3927">
      <w:pPr>
        <w:autoSpaceDE w:val="0"/>
        <w:autoSpaceDN w:val="0"/>
        <w:adjustRightInd w:val="0"/>
        <w:ind w:firstLine="426"/>
        <w:jc w:val="both"/>
        <w:rPr>
          <w:lang w:val="sr-Cyrl-RS"/>
        </w:rPr>
      </w:pPr>
      <w:r>
        <w:rPr>
          <w:lang w:val="sr-Cyrl-RS"/>
        </w:rPr>
        <w:t xml:space="preserve">Наведеним решењем нарочито се подстиче учешће оних заинтересованих страна које нису у могућности да равноправно учествују у поступку стандардизације (који због мањег броја запослених имају мање стручне и техничке капацитете, немају стручњаке који довољно познају енглески језик, не могу да издвоје средства за набавку стандарда, не препознају предности стандардизације и сл.). </w:t>
      </w:r>
    </w:p>
    <w:p w:rsidR="001A3927" w:rsidRDefault="001A3927" w:rsidP="001A3927">
      <w:pPr>
        <w:autoSpaceDE w:val="0"/>
        <w:autoSpaceDN w:val="0"/>
        <w:adjustRightInd w:val="0"/>
        <w:ind w:firstLine="426"/>
        <w:jc w:val="both"/>
        <w:rPr>
          <w:lang w:val="sr-Cyrl-RS"/>
        </w:rPr>
      </w:pPr>
      <w:r>
        <w:rPr>
          <w:lang w:val="sr-Cyrl-RS"/>
        </w:rPr>
        <w:t>Такође, овим чланом је предвиђено да Институт размењује најбоље праксе са циљем подстицања учешћа малих и средњих привредних друштава у активностима стандардизације.</w:t>
      </w:r>
    </w:p>
    <w:p w:rsidR="001A3927" w:rsidRDefault="001A3927" w:rsidP="001A3927">
      <w:pPr>
        <w:autoSpaceDE w:val="0"/>
        <w:autoSpaceDN w:val="0"/>
        <w:adjustRightInd w:val="0"/>
        <w:ind w:firstLine="426"/>
        <w:jc w:val="both"/>
        <w:rPr>
          <w:lang w:val="sr-Cyrl-RS"/>
        </w:rPr>
      </w:pPr>
      <w:r>
        <w:rPr>
          <w:lang w:val="sr-Cyrl-RS"/>
        </w:rPr>
        <w:t>Чланом 9. измењен је члан 13. Закона тако што је прецизирано да акт о доношењу, односно повлачењу српског стандарда или сродног документа доноси директор Института.</w:t>
      </w:r>
    </w:p>
    <w:p w:rsidR="001A3927" w:rsidRDefault="001A3927" w:rsidP="001A3927">
      <w:pPr>
        <w:autoSpaceDE w:val="0"/>
        <w:autoSpaceDN w:val="0"/>
        <w:adjustRightInd w:val="0"/>
        <w:ind w:firstLine="426"/>
        <w:jc w:val="both"/>
        <w:rPr>
          <w:lang w:val="sr-Cyrl-RS"/>
        </w:rPr>
      </w:pPr>
      <w:r>
        <w:rPr>
          <w:lang w:val="sr-Cyrl-RS"/>
        </w:rPr>
        <w:t xml:space="preserve">Истовремено, овим чланом предвиђено је да се акт о доношењу и повлачењу српских стандарда и сродних докумената, не објављује у „Службеном гласнику Републике Србије”, како је то било прописано важећим Законом, већ се информација о томе објављује у гласилу и на интернет страници Института. Предложеним изменама, поред уштеде буџетских средстава, постиже се и боља прегледност </w:t>
      </w:r>
      <w:r>
        <w:rPr>
          <w:lang w:val="sr-Cyrl-RS"/>
        </w:rPr>
        <w:lastRenderedPageBreak/>
        <w:t>информација о важећим српским стандардима и сродним документима. Оваквим решењем, корисницима се, с једне стране, омогућава лакше сналажење у систему стандардизације, што је од посебног значаја за мала и средња привредна друштва која имају ограничене административне и стручне капацитете,  док им се, са друге стране, без додатних трошкова омогућава приступ свим информацијама о донетим и повученим српским стандардима и сродним докуметима.</w:t>
      </w:r>
    </w:p>
    <w:p w:rsidR="001A3927" w:rsidRDefault="001A3927" w:rsidP="001A3927">
      <w:pPr>
        <w:autoSpaceDE w:val="0"/>
        <w:autoSpaceDN w:val="0"/>
        <w:adjustRightInd w:val="0"/>
        <w:ind w:firstLine="426"/>
        <w:jc w:val="both"/>
        <w:rPr>
          <w:lang w:val="sr-Cyrl-RS"/>
        </w:rPr>
      </w:pPr>
      <w:r>
        <w:rPr>
          <w:lang w:val="sr-Cyrl-RS"/>
        </w:rPr>
        <w:t xml:space="preserve">Изменом овог члана Закона постиже се да се информација о доношењу једног српског стандарда и сродног документа не објављује два пута у „Службеном гласнику Републике Србије”: као решење Института којим се тај српски стандард и сродни документ доноси и као листа српских стандарда и сродних докумената који служе као подршка техничкој и другој регулативи (претпоставка о усаглашености). Тако ће се у „Службеном гласнику Републике Србије” објављивати само ознаке и називи српских стандарда и сродних докумената на које се позивају технички прописи, док ће се информације о објављивању свих српских стандарда и сродних докумената објављивати у гласилу Института. </w:t>
      </w:r>
    </w:p>
    <w:p w:rsidR="001A3927" w:rsidRDefault="001A3927" w:rsidP="001A3927">
      <w:pPr>
        <w:autoSpaceDE w:val="0"/>
        <w:autoSpaceDN w:val="0"/>
        <w:adjustRightInd w:val="0"/>
        <w:ind w:firstLine="426"/>
        <w:jc w:val="both"/>
        <w:rPr>
          <w:lang w:val="sr-Cyrl-RS"/>
        </w:rPr>
      </w:pPr>
      <w:r>
        <w:rPr>
          <w:rFonts w:ascii="TimesNewRomanPSMT" w:hAnsi="TimesNewRomanPSMT" w:cs="TimesNewRomanPSMT"/>
          <w:lang w:val="sr-Cyrl-RS" w:eastAsia="sr-Latn-CS"/>
        </w:rPr>
        <w:t xml:space="preserve">Чланом 10. измењен је члан 15. Закона тако што су у ставу 2, услед предложених измена члана 12. Закона, </w:t>
      </w:r>
      <w:r>
        <w:rPr>
          <w:lang w:val="sr-Cyrl-RS" w:eastAsia="sr-Latn-CS"/>
        </w:rPr>
        <w:t>речи: „став 2.”, замењене речима:  „став 6.”.</w:t>
      </w:r>
    </w:p>
    <w:p w:rsidR="001A3927" w:rsidRDefault="001A3927" w:rsidP="001A3927">
      <w:pPr>
        <w:autoSpaceDE w:val="0"/>
        <w:autoSpaceDN w:val="0"/>
        <w:adjustRightInd w:val="0"/>
        <w:ind w:firstLine="426"/>
        <w:jc w:val="both"/>
        <w:rPr>
          <w:rFonts w:ascii="TimesNewRomanPSMT" w:hAnsi="TimesNewRomanPSMT" w:cs="TimesNewRomanPSMT"/>
          <w:lang w:val="sr-Cyrl-RS" w:eastAsia="sr-Latn-CS"/>
        </w:rPr>
      </w:pPr>
      <w:r>
        <w:rPr>
          <w:lang w:val="sr-Cyrl-RS" w:eastAsia="sr-Latn-CS"/>
        </w:rPr>
        <w:t>Истовремено, после</w:t>
      </w:r>
      <w:r>
        <w:rPr>
          <w:rFonts w:ascii="TimesNewRomanPSMT" w:hAnsi="TimesNewRomanPSMT" w:cs="TimesNewRomanPSMT"/>
          <w:lang w:val="sr-Cyrl-RS" w:eastAsia="sr-Latn-CS"/>
        </w:rPr>
        <w:t xml:space="preserve"> става 2. додат је нови став 3. којим је предвиђено да се одредбе ст. 1 и 2. овог члана, сходно примењују и на сродне документе.</w:t>
      </w:r>
    </w:p>
    <w:p w:rsidR="001A3927" w:rsidRDefault="001A3927" w:rsidP="001A3927">
      <w:pPr>
        <w:autoSpaceDE w:val="0"/>
        <w:autoSpaceDN w:val="0"/>
        <w:adjustRightInd w:val="0"/>
        <w:ind w:firstLine="426"/>
        <w:jc w:val="both"/>
        <w:rPr>
          <w:rFonts w:ascii="Times New Roman" w:hAnsi="Times New Roman"/>
          <w:lang w:val="sr-Cyrl-RS" w:eastAsia="sr-Latn-CS"/>
        </w:rPr>
      </w:pPr>
      <w:r>
        <w:rPr>
          <w:lang w:val="sr-Cyrl-RS" w:eastAsia="sr-Latn-CS"/>
        </w:rPr>
        <w:t>Чланом 11. измењен је члан 17. Закона, тако што је у члану 17. избрисан став 2. Брисање става 2. овог члана предложено је у циљу усклађивања са правилима европске стандардизације по којима примена стандарда није обавезна.</w:t>
      </w:r>
    </w:p>
    <w:p w:rsidR="001A3927" w:rsidRDefault="001A3927" w:rsidP="001A3927">
      <w:pPr>
        <w:autoSpaceDE w:val="0"/>
        <w:autoSpaceDN w:val="0"/>
        <w:adjustRightInd w:val="0"/>
        <w:ind w:firstLine="426"/>
        <w:jc w:val="both"/>
        <w:rPr>
          <w:b/>
          <w:lang w:val="sr-Cyrl-RS"/>
        </w:rPr>
      </w:pPr>
      <w:r>
        <w:rPr>
          <w:lang w:val="sr-Cyrl-RS" w:eastAsia="sr-Latn-CS"/>
        </w:rPr>
        <w:t xml:space="preserve">Такође, члан 17. Закона допуњен је тако што је после става 1. додат нови став 2. којим је предвиђено да се технички или други пропис може позивати само на објављене српске стандарде. Овакво решење је предложено из разлога што је </w:t>
      </w:r>
      <w:r>
        <w:rPr>
          <w:lang w:val="sr-Cyrl-RS"/>
        </w:rPr>
        <w:t>уочено да је у појединим техничким или другим прописима извршено позивање на међународне, односно европске стандарде, чак и када су ти стандарди коришћени као основа за доношење српског стандарда, односно када постоји идентичан српски стандард. Имајући у виду наведено, потребно је изменама закона предвидети да се технички или други прописи позивају искључиво на српске стандарде које Институт објављује и чини доступним.</w:t>
      </w:r>
    </w:p>
    <w:p w:rsidR="001A3927" w:rsidRDefault="001A3927" w:rsidP="001A3927">
      <w:pPr>
        <w:autoSpaceDE w:val="0"/>
        <w:autoSpaceDN w:val="0"/>
        <w:adjustRightInd w:val="0"/>
        <w:ind w:firstLine="426"/>
        <w:jc w:val="both"/>
        <w:rPr>
          <w:lang w:val="sr-Cyrl-RS" w:eastAsia="sr-Latn-CS"/>
        </w:rPr>
      </w:pPr>
      <w:r>
        <w:rPr>
          <w:lang w:val="sr-Cyrl-RS" w:eastAsia="sr-Latn-CS"/>
        </w:rPr>
        <w:t xml:space="preserve">Истовремено, члан 17. Закона допуњен је новим ставом 3. </w:t>
      </w:r>
      <w:r>
        <w:rPr>
          <w:lang w:val="sr-Cyrl-RS"/>
        </w:rPr>
        <w:t xml:space="preserve">где је начињен изузетак којим је омогућено да се </w:t>
      </w:r>
      <w:r>
        <w:rPr>
          <w:lang w:val="sr-Cyrl-RS" w:eastAsia="sr-Latn-CS"/>
        </w:rPr>
        <w:t>изузетно од става 2. овог члана, уколико нема објављеног српског стандарда у одговарајућој области, у техничком или другом пропису Републике Србије може вршити позивање на међународни, европски или национални стандард других држава.</w:t>
      </w:r>
    </w:p>
    <w:p w:rsidR="001A3927" w:rsidRDefault="001A3927" w:rsidP="001A3927">
      <w:pPr>
        <w:autoSpaceDE w:val="0"/>
        <w:autoSpaceDN w:val="0"/>
        <w:adjustRightInd w:val="0"/>
        <w:ind w:firstLine="426"/>
        <w:jc w:val="both"/>
        <w:rPr>
          <w:rFonts w:ascii="TimesNewRomanPSMT" w:hAnsi="TimesNewRomanPSMT" w:cs="TimesNewRomanPSMT"/>
          <w:lang w:val="sr-Cyrl-RS" w:eastAsia="sr-Latn-CS"/>
        </w:rPr>
      </w:pPr>
      <w:r>
        <w:rPr>
          <w:lang w:val="sr-Cyrl-RS"/>
        </w:rPr>
        <w:t>Оваквим решењем којим је начињен изузетак, омогућава се да се технички или други прописи Републике Србије позивају на међународни, европски или национални стандард</w:t>
      </w:r>
      <w:r>
        <w:rPr>
          <w:lang w:val="sr-Cyrl-RS" w:eastAsia="sr-Latn-CS"/>
        </w:rPr>
        <w:t xml:space="preserve"> других држава</w:t>
      </w:r>
      <w:r>
        <w:rPr>
          <w:lang w:val="sr-Cyrl-RS"/>
        </w:rPr>
        <w:t>, само у случају када стандард на који се позива пропис, није преузет као српски стандард, а којим се преузимају начела и битни захтеви техничког или другог прописа Европске уније.</w:t>
      </w:r>
    </w:p>
    <w:p w:rsidR="001A3927" w:rsidRDefault="001A3927" w:rsidP="001A3927">
      <w:pPr>
        <w:autoSpaceDE w:val="0"/>
        <w:autoSpaceDN w:val="0"/>
        <w:adjustRightInd w:val="0"/>
        <w:ind w:firstLine="708"/>
        <w:jc w:val="both"/>
        <w:rPr>
          <w:rFonts w:ascii="TimesNewRomanPSMT" w:hAnsi="TimesNewRomanPSMT" w:cs="TimesNewRomanPSMT"/>
          <w:lang w:val="sr-Cyrl-RS" w:eastAsia="sr-Latn-CS"/>
        </w:rPr>
      </w:pPr>
    </w:p>
    <w:p w:rsidR="001A3927" w:rsidRDefault="001A3927" w:rsidP="001A3927">
      <w:pPr>
        <w:spacing w:after="120"/>
        <w:jc w:val="both"/>
        <w:rPr>
          <w:rFonts w:ascii="Times New Roman" w:hAnsi="Times New Roman"/>
          <w:lang w:val="sr-Cyrl-RS"/>
        </w:rPr>
      </w:pPr>
      <w:r>
        <w:rPr>
          <w:lang w:val="sr-Cyrl-RS"/>
        </w:rPr>
        <w:t>IV. ФИНАНСИЈСКА СРЕДСТВА ПОТРЕБНА ЗА СПРОВОЂЕЊЕ ОВОГ ЗАКОНА</w:t>
      </w:r>
    </w:p>
    <w:p w:rsidR="001A3927" w:rsidRDefault="001A3927" w:rsidP="001A3927">
      <w:pPr>
        <w:pStyle w:val="BodyTextIndent2"/>
        <w:rPr>
          <w:lang w:val="sr-Cyrl-RS"/>
        </w:rPr>
      </w:pPr>
      <w:r>
        <w:rPr>
          <w:lang w:val="sr-Cyrl-RS"/>
        </w:rPr>
        <w:t>За спровођење овог закона није потребно обезбедити додатна средства из буџета Републике Србије.</w:t>
      </w:r>
    </w:p>
    <w:p w:rsidR="001A3927" w:rsidRDefault="001A3927" w:rsidP="001A3927">
      <w:pPr>
        <w:pStyle w:val="BodyTextIndent2"/>
        <w:ind w:firstLine="0"/>
        <w:rPr>
          <w:b/>
          <w:lang w:val="sr-Cyrl-RS"/>
        </w:rPr>
      </w:pPr>
    </w:p>
    <w:p w:rsidR="001A3927" w:rsidRDefault="001A3927" w:rsidP="001A3927">
      <w:pPr>
        <w:pStyle w:val="BodyTextIndent2"/>
        <w:ind w:firstLine="0"/>
        <w:rPr>
          <w:b/>
          <w:lang w:val="sr-Cyrl-RS"/>
        </w:rPr>
      </w:pPr>
    </w:p>
    <w:p w:rsidR="001A3927" w:rsidRDefault="001A3927" w:rsidP="001A3927">
      <w:pPr>
        <w:pStyle w:val="BodyTextIndent2"/>
        <w:tabs>
          <w:tab w:val="left" w:pos="567"/>
        </w:tabs>
        <w:ind w:firstLine="0"/>
        <w:jc w:val="left"/>
        <w:rPr>
          <w:lang w:val="sr-Cyrl-RS"/>
        </w:rPr>
      </w:pPr>
      <w:r>
        <w:rPr>
          <w:lang w:val="sr-Cyrl-RS"/>
        </w:rPr>
        <w:t>V.  ПРЕГЛЕД  ОДРЕДАБА ЗАКОНА КОЈЕ СЕ МЕЊАЈУ, ОДНОСНО ДОПУЊУЈУ</w:t>
      </w:r>
    </w:p>
    <w:p w:rsidR="001A3927" w:rsidRDefault="001A3927" w:rsidP="001A3927">
      <w:pPr>
        <w:pStyle w:val="BodyTextIndent2"/>
        <w:tabs>
          <w:tab w:val="left" w:pos="567"/>
        </w:tabs>
        <w:ind w:firstLine="0"/>
        <w:jc w:val="left"/>
        <w:rPr>
          <w:b/>
          <w:lang w:val="sr-Cyrl-RS"/>
        </w:rPr>
      </w:pPr>
    </w:p>
    <w:p w:rsidR="001A3927" w:rsidRDefault="001A3927" w:rsidP="001A3927">
      <w:pPr>
        <w:pStyle w:val="4clan"/>
        <w:spacing w:after="120"/>
        <w:rPr>
          <w:rFonts w:ascii="Times New Roman" w:hAnsi="Times New Roman" w:cs="Times New Roman"/>
          <w:sz w:val="24"/>
          <w:szCs w:val="24"/>
          <w:lang w:val="sr-Cyrl-RS"/>
        </w:rPr>
      </w:pPr>
      <w:r>
        <w:rPr>
          <w:rFonts w:ascii="Times New Roman" w:hAnsi="Times New Roman" w:cs="Times New Roman"/>
          <w:sz w:val="24"/>
          <w:szCs w:val="24"/>
          <w:lang w:val="sr-Cyrl-RS"/>
        </w:rPr>
        <w:t>Члан 1.</w:t>
      </w:r>
    </w:p>
    <w:p w:rsidR="001A3927" w:rsidRDefault="001A3927" w:rsidP="001A3927">
      <w:pPr>
        <w:pStyle w:val="1tekst"/>
        <w:rPr>
          <w:rFonts w:ascii="Times New Roman" w:hAnsi="Times New Roman" w:cs="Times New Roman"/>
          <w:sz w:val="24"/>
          <w:szCs w:val="24"/>
          <w:lang w:val="sr-Cyrl-RS"/>
        </w:rPr>
      </w:pPr>
      <w:bookmarkStart w:id="3" w:name="SADRZAJ_005"/>
      <w:r>
        <w:rPr>
          <w:rFonts w:ascii="Times New Roman" w:hAnsi="Times New Roman" w:cs="Times New Roman"/>
          <w:sz w:val="24"/>
          <w:szCs w:val="24"/>
          <w:lang w:val="sr-Cyrl-RS"/>
        </w:rPr>
        <w:t xml:space="preserve">Овим законом уређују се начела и циљеви стандардизације у Републици Србији, организовање и делатност националног тела за стандардизацију, као и доношење, објављивање, </w:t>
      </w:r>
      <w:r>
        <w:rPr>
          <w:rFonts w:ascii="Times New Roman" w:hAnsi="Times New Roman"/>
          <w:sz w:val="24"/>
          <w:szCs w:val="24"/>
          <w:lang w:val="sr-Cyrl-RS"/>
        </w:rPr>
        <w:t>ПОВЛАЧЕЊЕ</w:t>
      </w:r>
      <w:r>
        <w:rPr>
          <w:rFonts w:ascii="Times New Roman" w:hAnsi="Times New Roman" w:cs="Times New Roman"/>
          <w:sz w:val="24"/>
          <w:szCs w:val="24"/>
          <w:lang w:val="sr-Cyrl-RS"/>
        </w:rPr>
        <w:t xml:space="preserve"> и примена српских стандарда и сродних докумената. </w:t>
      </w:r>
    </w:p>
    <w:p w:rsidR="001A3927" w:rsidRDefault="001A3927" w:rsidP="001A3927">
      <w:pPr>
        <w:pStyle w:val="1tekst"/>
        <w:rPr>
          <w:rFonts w:ascii="Times New Roman" w:hAnsi="Times New Roman" w:cs="Times New Roman"/>
          <w:sz w:val="24"/>
          <w:szCs w:val="24"/>
          <w:lang w:val="sr-Cyrl-RS"/>
        </w:rPr>
      </w:pPr>
    </w:p>
    <w:p w:rsidR="001A3927" w:rsidRDefault="001A3927" w:rsidP="001A3927">
      <w:pPr>
        <w:pStyle w:val="4clan"/>
        <w:spacing w:after="120"/>
        <w:rPr>
          <w:rFonts w:ascii="Times New Roman" w:hAnsi="Times New Roman" w:cs="Times New Roman"/>
          <w:sz w:val="24"/>
          <w:szCs w:val="24"/>
          <w:lang w:val="sr-Cyrl-RS"/>
        </w:rPr>
      </w:pPr>
      <w:r>
        <w:rPr>
          <w:rFonts w:ascii="Times New Roman" w:hAnsi="Times New Roman" w:cs="Times New Roman"/>
          <w:sz w:val="24"/>
          <w:szCs w:val="24"/>
          <w:lang w:val="sr-Cyrl-RS"/>
        </w:rPr>
        <w:t>Члан 2.</w:t>
      </w:r>
    </w:p>
    <w:p w:rsidR="001A3927" w:rsidRDefault="001A3927" w:rsidP="001A3927">
      <w:pPr>
        <w:pStyle w:val="1tekst"/>
        <w:rPr>
          <w:rFonts w:ascii="Times New Roman" w:hAnsi="Times New Roman" w:cs="Times New Roman"/>
          <w:sz w:val="24"/>
          <w:szCs w:val="24"/>
          <w:lang w:val="sr-Cyrl-RS"/>
        </w:rPr>
      </w:pPr>
      <w:bookmarkStart w:id="4" w:name="SADRZAJ_006"/>
      <w:bookmarkEnd w:id="3"/>
      <w:r>
        <w:rPr>
          <w:rFonts w:ascii="Times New Roman" w:hAnsi="Times New Roman" w:cs="Times New Roman"/>
          <w:sz w:val="24"/>
          <w:szCs w:val="24"/>
          <w:lang w:val="sr-Cyrl-RS"/>
        </w:rPr>
        <w:t xml:space="preserve">Овај закон се примењује на стандарде и сродне документе које доноси и објављује национално тело за стандардизацију у Републици Србији, као и на међународне стандарде и сродне документе признатих међународних и европских организација за стандардизацију из члана 3. </w:t>
      </w:r>
      <w:r>
        <w:rPr>
          <w:rFonts w:ascii="Times New Roman" w:hAnsi="Times New Roman" w:cs="Times New Roman"/>
          <w:strike/>
          <w:sz w:val="24"/>
          <w:szCs w:val="24"/>
          <w:lang w:val="sr-Cyrl-RS"/>
        </w:rPr>
        <w:t>тач. 12) и 13)</w:t>
      </w:r>
      <w:r>
        <w:rPr>
          <w:rFonts w:ascii="Times New Roman" w:hAnsi="Times New Roman" w:cs="Times New Roman"/>
          <w:sz w:val="24"/>
          <w:szCs w:val="24"/>
          <w:lang w:val="sr-Cyrl-RS"/>
        </w:rPr>
        <w:t xml:space="preserve"> </w:t>
      </w:r>
      <w:r>
        <w:rPr>
          <w:rFonts w:ascii="Times New Roman" w:hAnsi="Times New Roman"/>
          <w:sz w:val="24"/>
          <w:szCs w:val="24"/>
          <w:lang w:val="sr-Cyrl-RS"/>
        </w:rPr>
        <w:t>„ТАЧ. 16) И 17). ”</w:t>
      </w:r>
      <w:r>
        <w:rPr>
          <w:rFonts w:ascii="Times New Roman" w:hAnsi="Times New Roman" w:cs="Times New Roman"/>
          <w:sz w:val="24"/>
          <w:szCs w:val="24"/>
          <w:lang w:val="sr-Cyrl-RS"/>
        </w:rPr>
        <w:t xml:space="preserve">овог закона који представљају основу за доношење српских стандарда. </w:t>
      </w:r>
    </w:p>
    <w:p w:rsidR="001A3927" w:rsidRDefault="001A3927" w:rsidP="001A3927">
      <w:pPr>
        <w:autoSpaceDE w:val="0"/>
        <w:autoSpaceDN w:val="0"/>
        <w:adjustRightInd w:val="0"/>
        <w:ind w:firstLine="720"/>
        <w:jc w:val="both"/>
        <w:rPr>
          <w:rFonts w:ascii="Times New Roman" w:hAnsi="Times New Roman"/>
          <w:sz w:val="24"/>
          <w:szCs w:val="24"/>
          <w:lang w:val="sr-Cyrl-RS"/>
        </w:rPr>
      </w:pPr>
      <w:r>
        <w:rPr>
          <w:lang w:val="sr-Cyrl-RS"/>
        </w:rPr>
        <w:t>„ОВАЈ ЗАКОН СЕ НЕ ПРИМЕЊУЈЕ НА ГРАНСКЕ И ИНТЕРНЕ СТАНДАРДЕ И СРОДНЕ ДОКУМЕНТЕ ЗА ПРОИЗВОДЕ, ПРОЦЕСЕ И УСЛУГЕ У ОБЛАСТИ ОДБРАНЕ ЗЕМЉЕ, ЖЕЛЕЗНИЧКОГ, ВАЗДУШНОГ, ВОДНОГ САОБРАЋАЈА, РАЧУНОВОДСТВЕНИХ УСЛУГА И У ДРУГИМ ОБЛАСТИМА, КОЈЕ ЗА СВОЈЕ ПОТРЕБЕ МОГУ ДОНОСИТИ ОРГАНИ ДРЖАВНЕ УПРАВЕ, ПРИВРЕДНА ДРУШТВА И ДРУГА ПРАВНА ЛИЦА.</w:t>
      </w:r>
    </w:p>
    <w:p w:rsidR="001A3927" w:rsidRDefault="001A3927" w:rsidP="001A3927">
      <w:pPr>
        <w:autoSpaceDE w:val="0"/>
        <w:autoSpaceDN w:val="0"/>
        <w:adjustRightInd w:val="0"/>
        <w:ind w:firstLine="720"/>
        <w:jc w:val="both"/>
        <w:rPr>
          <w:lang w:val="sr-Cyrl-RS"/>
        </w:rPr>
      </w:pPr>
      <w:r>
        <w:rPr>
          <w:lang w:val="sr-Cyrl-RS"/>
        </w:rPr>
        <w:t>„ПОСЕБНИМ ЗАКОНИМА И ДРУГИМ ПРОПИСИМА, УРЕЂУЈЕ СЕ ДОНОШЕЊЕ, ОЗНАЧАВАЊЕ И ПРИМЕНА СТАНДАРДА И СРОДНИХ ДОКУМЕНАТА И ДРУГА ПИТАЊА ОД ЗНАЧАЈА ЗА СТАНДАРДИЗАЦИЈУ У ОБЛАСТИМА ИЗ СТАВА 2. ОВОГ ЧЛАНА.”</w:t>
      </w:r>
    </w:p>
    <w:p w:rsidR="001A3927" w:rsidRDefault="001A3927" w:rsidP="001A3927">
      <w:pPr>
        <w:pStyle w:val="1tekst"/>
        <w:rPr>
          <w:rFonts w:ascii="Times New Roman" w:hAnsi="Times New Roman" w:cs="Times New Roman"/>
          <w:sz w:val="24"/>
          <w:szCs w:val="24"/>
          <w:lang w:val="sr-Cyrl-RS"/>
        </w:rPr>
      </w:pPr>
    </w:p>
    <w:p w:rsidR="001A3927" w:rsidRDefault="001A3927" w:rsidP="001A3927">
      <w:pPr>
        <w:pStyle w:val="4clan"/>
        <w:spacing w:after="120"/>
        <w:rPr>
          <w:rFonts w:ascii="Times New Roman" w:hAnsi="Times New Roman" w:cs="Times New Roman"/>
          <w:strike/>
          <w:sz w:val="24"/>
          <w:szCs w:val="24"/>
          <w:lang w:val="sr-Cyrl-RS"/>
        </w:rPr>
      </w:pPr>
      <w:r>
        <w:rPr>
          <w:rFonts w:ascii="Times New Roman" w:hAnsi="Times New Roman" w:cs="Times New Roman"/>
          <w:strike/>
          <w:sz w:val="24"/>
          <w:szCs w:val="24"/>
          <w:lang w:val="sr-Cyrl-RS"/>
        </w:rPr>
        <w:t>Члан 3.</w:t>
      </w:r>
    </w:p>
    <w:bookmarkEnd w:id="4"/>
    <w:p w:rsidR="001A3927" w:rsidRDefault="001A3927" w:rsidP="001A3927">
      <w:pPr>
        <w:pStyle w:val="1tekst"/>
        <w:rPr>
          <w:rFonts w:ascii="Times New Roman" w:hAnsi="Times New Roman" w:cs="Times New Roman"/>
          <w:strike/>
          <w:sz w:val="24"/>
          <w:szCs w:val="24"/>
          <w:lang w:val="sr-Cyrl-RS"/>
        </w:rPr>
      </w:pPr>
      <w:r>
        <w:rPr>
          <w:rFonts w:ascii="Times New Roman" w:hAnsi="Times New Roman" w:cs="Times New Roman"/>
          <w:strike/>
          <w:sz w:val="24"/>
          <w:szCs w:val="24"/>
          <w:lang w:val="sr-Cyrl-RS"/>
        </w:rPr>
        <w:t>Поједини изрази употребљени у овом закону имају следеће значење:</w:t>
      </w:r>
    </w:p>
    <w:p w:rsidR="001A3927" w:rsidRDefault="001A3927" w:rsidP="001A3927">
      <w:pPr>
        <w:pStyle w:val="1tekst"/>
        <w:rPr>
          <w:rFonts w:ascii="Times New Roman" w:hAnsi="Times New Roman" w:cs="Times New Roman"/>
          <w:strike/>
          <w:sz w:val="24"/>
          <w:szCs w:val="24"/>
          <w:lang w:val="sr-Cyrl-RS"/>
        </w:rPr>
      </w:pPr>
      <w:r>
        <w:rPr>
          <w:rFonts w:ascii="Times New Roman" w:hAnsi="Times New Roman" w:cs="Times New Roman"/>
          <w:strike/>
          <w:sz w:val="24"/>
          <w:szCs w:val="24"/>
          <w:lang w:val="sr-Cyrl-RS"/>
        </w:rPr>
        <w:t xml:space="preserve">1) </w:t>
      </w:r>
      <w:r>
        <w:rPr>
          <w:rFonts w:ascii="Times New Roman" w:hAnsi="Times New Roman" w:cs="Times New Roman"/>
          <w:i/>
          <w:iCs/>
          <w:strike/>
          <w:sz w:val="24"/>
          <w:szCs w:val="24"/>
          <w:lang w:val="sr-Cyrl-RS"/>
        </w:rPr>
        <w:t>стандардизација</w:t>
      </w:r>
      <w:r>
        <w:rPr>
          <w:rFonts w:ascii="Times New Roman" w:hAnsi="Times New Roman" w:cs="Times New Roman"/>
          <w:strike/>
          <w:sz w:val="24"/>
          <w:szCs w:val="24"/>
          <w:lang w:val="sr-Cyrl-RS"/>
        </w:rPr>
        <w:t xml:space="preserve"> је скуп координираних активности на доношењу стандарда и сродних докумената;</w:t>
      </w:r>
    </w:p>
    <w:p w:rsidR="001A3927" w:rsidRDefault="001A3927" w:rsidP="001A3927">
      <w:pPr>
        <w:pStyle w:val="1tekst"/>
        <w:rPr>
          <w:rFonts w:ascii="Times New Roman" w:hAnsi="Times New Roman" w:cs="Times New Roman"/>
          <w:strike/>
          <w:sz w:val="24"/>
          <w:szCs w:val="24"/>
          <w:lang w:val="sr-Cyrl-RS"/>
        </w:rPr>
      </w:pPr>
      <w:r>
        <w:rPr>
          <w:rFonts w:ascii="Times New Roman" w:hAnsi="Times New Roman" w:cs="Times New Roman"/>
          <w:strike/>
          <w:sz w:val="24"/>
          <w:szCs w:val="24"/>
          <w:lang w:val="sr-Cyrl-RS"/>
        </w:rPr>
        <w:t xml:space="preserve">2) </w:t>
      </w:r>
      <w:r>
        <w:rPr>
          <w:rFonts w:ascii="Times New Roman" w:hAnsi="Times New Roman" w:cs="Times New Roman"/>
          <w:i/>
          <w:iCs/>
          <w:strike/>
          <w:sz w:val="24"/>
          <w:szCs w:val="24"/>
          <w:lang w:val="sr-Cyrl-RS"/>
        </w:rPr>
        <w:t>стандард</w:t>
      </w:r>
      <w:r>
        <w:rPr>
          <w:rFonts w:ascii="Times New Roman" w:hAnsi="Times New Roman" w:cs="Times New Roman"/>
          <w:strike/>
          <w:sz w:val="24"/>
          <w:szCs w:val="24"/>
          <w:lang w:val="sr-Cyrl-RS"/>
        </w:rPr>
        <w:t xml:space="preserve"> је јавно доступан документ, утврђен консензусом и донет од признатог тела, у коме се за општу и вишекратну употребу утврђују правила, захтеви, карактеристике, упутства, препоруке или смернице за активности или њихове резултате, ради постизања оптималног нивоа уређености у одређеној области у односу на постојеће или могуће проблеме;</w:t>
      </w:r>
    </w:p>
    <w:p w:rsidR="001A3927" w:rsidRDefault="001A3927" w:rsidP="001A3927">
      <w:pPr>
        <w:pStyle w:val="1tekst"/>
        <w:rPr>
          <w:rFonts w:ascii="Times New Roman" w:hAnsi="Times New Roman" w:cs="Times New Roman"/>
          <w:strike/>
          <w:sz w:val="24"/>
          <w:szCs w:val="24"/>
          <w:lang w:val="sr-Cyrl-RS"/>
        </w:rPr>
      </w:pPr>
      <w:r>
        <w:rPr>
          <w:rFonts w:ascii="Times New Roman" w:hAnsi="Times New Roman" w:cs="Times New Roman"/>
          <w:strike/>
          <w:sz w:val="24"/>
          <w:szCs w:val="24"/>
          <w:lang w:val="sr-Cyrl-RS"/>
        </w:rPr>
        <w:t xml:space="preserve">3) </w:t>
      </w:r>
      <w:r>
        <w:rPr>
          <w:rFonts w:ascii="Times New Roman" w:hAnsi="Times New Roman" w:cs="Times New Roman"/>
          <w:i/>
          <w:iCs/>
          <w:strike/>
          <w:sz w:val="24"/>
          <w:szCs w:val="24"/>
          <w:lang w:val="sr-Cyrl-RS"/>
        </w:rPr>
        <w:t>међународни стандард</w:t>
      </w:r>
      <w:r>
        <w:rPr>
          <w:rFonts w:ascii="Times New Roman" w:hAnsi="Times New Roman" w:cs="Times New Roman"/>
          <w:strike/>
          <w:sz w:val="24"/>
          <w:szCs w:val="24"/>
          <w:lang w:val="sr-Cyrl-RS"/>
        </w:rPr>
        <w:t xml:space="preserve"> је стандард који је донела међународна организација за стандардизацију;</w:t>
      </w:r>
    </w:p>
    <w:p w:rsidR="001A3927" w:rsidRDefault="001A3927" w:rsidP="001A3927">
      <w:pPr>
        <w:pStyle w:val="1tekst"/>
        <w:rPr>
          <w:rFonts w:ascii="Times New Roman" w:hAnsi="Times New Roman" w:cs="Times New Roman"/>
          <w:strike/>
          <w:sz w:val="24"/>
          <w:szCs w:val="24"/>
          <w:lang w:val="sr-Cyrl-RS"/>
        </w:rPr>
      </w:pPr>
      <w:r>
        <w:rPr>
          <w:rFonts w:ascii="Times New Roman" w:hAnsi="Times New Roman" w:cs="Times New Roman"/>
          <w:strike/>
          <w:sz w:val="24"/>
          <w:szCs w:val="24"/>
          <w:lang w:val="sr-Cyrl-RS"/>
        </w:rPr>
        <w:lastRenderedPageBreak/>
        <w:t xml:space="preserve">4) </w:t>
      </w:r>
      <w:r>
        <w:rPr>
          <w:rFonts w:ascii="Times New Roman" w:hAnsi="Times New Roman" w:cs="Times New Roman"/>
          <w:i/>
          <w:iCs/>
          <w:strike/>
          <w:sz w:val="24"/>
          <w:szCs w:val="24"/>
          <w:lang w:val="sr-Cyrl-RS"/>
        </w:rPr>
        <w:t>европски стандард</w:t>
      </w:r>
      <w:r>
        <w:rPr>
          <w:rFonts w:ascii="Times New Roman" w:hAnsi="Times New Roman" w:cs="Times New Roman"/>
          <w:strike/>
          <w:sz w:val="24"/>
          <w:szCs w:val="24"/>
          <w:lang w:val="sr-Cyrl-RS"/>
        </w:rPr>
        <w:t xml:space="preserve"> је стандард који је донела европска организација за стандардизацију;</w:t>
      </w:r>
    </w:p>
    <w:p w:rsidR="001A3927" w:rsidRDefault="001A3927" w:rsidP="001A3927">
      <w:pPr>
        <w:pStyle w:val="1tekst"/>
        <w:rPr>
          <w:rFonts w:ascii="Times New Roman" w:hAnsi="Times New Roman" w:cs="Times New Roman"/>
          <w:strike/>
          <w:sz w:val="24"/>
          <w:szCs w:val="24"/>
          <w:lang w:val="sr-Cyrl-RS"/>
        </w:rPr>
      </w:pPr>
      <w:r>
        <w:rPr>
          <w:rFonts w:ascii="Times New Roman" w:hAnsi="Times New Roman" w:cs="Times New Roman"/>
          <w:strike/>
          <w:sz w:val="24"/>
          <w:szCs w:val="24"/>
          <w:lang w:val="sr-Cyrl-RS"/>
        </w:rPr>
        <w:t xml:space="preserve">5) </w:t>
      </w:r>
      <w:r>
        <w:rPr>
          <w:rFonts w:ascii="Times New Roman" w:hAnsi="Times New Roman" w:cs="Times New Roman"/>
          <w:i/>
          <w:iCs/>
          <w:strike/>
          <w:sz w:val="24"/>
          <w:szCs w:val="24"/>
          <w:lang w:val="sr-Cyrl-RS"/>
        </w:rPr>
        <w:t>српски стандард</w:t>
      </w:r>
      <w:r>
        <w:rPr>
          <w:rFonts w:ascii="Times New Roman" w:hAnsi="Times New Roman" w:cs="Times New Roman"/>
          <w:strike/>
          <w:sz w:val="24"/>
          <w:szCs w:val="24"/>
          <w:lang w:val="sr-Cyrl-RS"/>
        </w:rPr>
        <w:t xml:space="preserve"> је стандард који је донело национално тело за стандардизацију у Републици Србији;</w:t>
      </w:r>
    </w:p>
    <w:p w:rsidR="001A3927" w:rsidRDefault="001A3927" w:rsidP="001A3927">
      <w:pPr>
        <w:pStyle w:val="1tekst"/>
        <w:rPr>
          <w:rFonts w:ascii="Times New Roman" w:hAnsi="Times New Roman" w:cs="Times New Roman"/>
          <w:strike/>
          <w:sz w:val="24"/>
          <w:szCs w:val="24"/>
          <w:lang w:val="sr-Cyrl-RS"/>
        </w:rPr>
      </w:pPr>
      <w:r>
        <w:rPr>
          <w:rFonts w:ascii="Times New Roman" w:hAnsi="Times New Roman" w:cs="Times New Roman"/>
          <w:strike/>
          <w:sz w:val="24"/>
          <w:szCs w:val="24"/>
          <w:lang w:val="sr-Cyrl-RS"/>
        </w:rPr>
        <w:t xml:space="preserve">6) </w:t>
      </w:r>
      <w:r>
        <w:rPr>
          <w:rFonts w:ascii="Times New Roman" w:hAnsi="Times New Roman" w:cs="Times New Roman"/>
          <w:i/>
          <w:iCs/>
          <w:strike/>
          <w:sz w:val="24"/>
          <w:szCs w:val="24"/>
          <w:lang w:val="sr-Cyrl-RS"/>
        </w:rPr>
        <w:t>сродни документ</w:t>
      </w:r>
      <w:r>
        <w:rPr>
          <w:rFonts w:ascii="Times New Roman" w:hAnsi="Times New Roman" w:cs="Times New Roman"/>
          <w:strike/>
          <w:sz w:val="24"/>
          <w:szCs w:val="24"/>
          <w:lang w:val="sr-Cyrl-RS"/>
        </w:rPr>
        <w:t xml:space="preserve"> је документ (нпр. техничка спецификација, технички извештај, упутство) који је донела међународна или европска организација за стандардизацију, односно национално тело за стандардизацију у Републици Србији и који је доступан јавности, а не испуњава услове да буде донет као српски стандард; </w:t>
      </w:r>
    </w:p>
    <w:p w:rsidR="001A3927" w:rsidRDefault="001A3927" w:rsidP="001A3927">
      <w:pPr>
        <w:pStyle w:val="1tekst"/>
        <w:rPr>
          <w:rFonts w:ascii="Times New Roman" w:hAnsi="Times New Roman" w:cs="Times New Roman"/>
          <w:strike/>
          <w:sz w:val="24"/>
          <w:szCs w:val="24"/>
          <w:lang w:val="sr-Cyrl-RS"/>
        </w:rPr>
      </w:pPr>
      <w:r>
        <w:rPr>
          <w:rFonts w:ascii="Times New Roman" w:hAnsi="Times New Roman" w:cs="Times New Roman"/>
          <w:strike/>
          <w:sz w:val="24"/>
          <w:szCs w:val="24"/>
          <w:lang w:val="sr-Cyrl-RS"/>
        </w:rPr>
        <w:t xml:space="preserve">7) </w:t>
      </w:r>
      <w:r>
        <w:rPr>
          <w:rFonts w:ascii="Times New Roman" w:hAnsi="Times New Roman" w:cs="Times New Roman"/>
          <w:i/>
          <w:iCs/>
          <w:strike/>
          <w:sz w:val="24"/>
          <w:szCs w:val="24"/>
          <w:lang w:val="sr-Cyrl-RS"/>
        </w:rPr>
        <w:t>заинтересована страна</w:t>
      </w:r>
      <w:r>
        <w:rPr>
          <w:rFonts w:ascii="Times New Roman" w:hAnsi="Times New Roman" w:cs="Times New Roman"/>
          <w:strike/>
          <w:sz w:val="24"/>
          <w:szCs w:val="24"/>
          <w:lang w:val="sr-Cyrl-RS"/>
        </w:rPr>
        <w:t xml:space="preserve"> је орган државне управе, привредно друштво, предузетник, организација потрошача и друго правно или физичко лице које показује интерес за стандардизацију;</w:t>
      </w:r>
    </w:p>
    <w:p w:rsidR="001A3927" w:rsidRDefault="001A3927" w:rsidP="001A3927">
      <w:pPr>
        <w:pStyle w:val="1tekst"/>
        <w:rPr>
          <w:rFonts w:ascii="Times New Roman" w:hAnsi="Times New Roman" w:cs="Times New Roman"/>
          <w:strike/>
          <w:sz w:val="24"/>
          <w:szCs w:val="24"/>
          <w:lang w:val="sr-Cyrl-RS"/>
        </w:rPr>
      </w:pPr>
      <w:r>
        <w:rPr>
          <w:rFonts w:ascii="Times New Roman" w:hAnsi="Times New Roman" w:cs="Times New Roman"/>
          <w:strike/>
          <w:sz w:val="24"/>
          <w:szCs w:val="24"/>
          <w:lang w:val="sr-Cyrl-RS"/>
        </w:rPr>
        <w:t xml:space="preserve">8) </w:t>
      </w:r>
      <w:r>
        <w:rPr>
          <w:rFonts w:ascii="Times New Roman" w:hAnsi="Times New Roman" w:cs="Times New Roman"/>
          <w:i/>
          <w:iCs/>
          <w:strike/>
          <w:sz w:val="24"/>
          <w:szCs w:val="24"/>
          <w:lang w:val="sr-Cyrl-RS"/>
        </w:rPr>
        <w:t>консензус</w:t>
      </w:r>
      <w:r>
        <w:rPr>
          <w:rFonts w:ascii="Times New Roman" w:hAnsi="Times New Roman" w:cs="Times New Roman"/>
          <w:strike/>
          <w:sz w:val="24"/>
          <w:szCs w:val="24"/>
          <w:lang w:val="sr-Cyrl-RS"/>
        </w:rPr>
        <w:t xml:space="preserve"> је начелна сагласност о било ком значајном питању, постигнута тако да се узму у обзир становишта свих заинтересованих страна и да се усагласе сви супротстављени ставови, при чему се под консензусом не подразумева једногласност у доношењу стандарда;</w:t>
      </w:r>
    </w:p>
    <w:p w:rsidR="001A3927" w:rsidRDefault="001A3927" w:rsidP="001A3927">
      <w:pPr>
        <w:pStyle w:val="1tekst"/>
        <w:rPr>
          <w:rFonts w:ascii="Times New Roman" w:hAnsi="Times New Roman" w:cs="Times New Roman"/>
          <w:strike/>
          <w:sz w:val="24"/>
          <w:szCs w:val="24"/>
          <w:lang w:val="sr-Cyrl-RS"/>
        </w:rPr>
      </w:pPr>
      <w:r>
        <w:rPr>
          <w:rFonts w:ascii="Times New Roman" w:hAnsi="Times New Roman" w:cs="Times New Roman"/>
          <w:strike/>
          <w:sz w:val="24"/>
          <w:szCs w:val="24"/>
          <w:lang w:val="sr-Cyrl-RS"/>
        </w:rPr>
        <w:t xml:space="preserve">9) </w:t>
      </w:r>
      <w:r>
        <w:rPr>
          <w:rFonts w:ascii="Times New Roman" w:hAnsi="Times New Roman" w:cs="Times New Roman"/>
          <w:i/>
          <w:iCs/>
          <w:strike/>
          <w:sz w:val="24"/>
          <w:szCs w:val="24"/>
          <w:lang w:val="sr-Cyrl-RS"/>
        </w:rPr>
        <w:t>доношење стандарда или сродног документа</w:t>
      </w:r>
      <w:r>
        <w:rPr>
          <w:rFonts w:ascii="Times New Roman" w:hAnsi="Times New Roman" w:cs="Times New Roman"/>
          <w:strike/>
          <w:sz w:val="24"/>
          <w:szCs w:val="24"/>
          <w:lang w:val="sr-Cyrl-RS"/>
        </w:rPr>
        <w:t xml:space="preserve"> је скуп координираних активности које започињу усвајањем предлога за доношење стандарда или сродног документа, а завршавају се доношењем акта којим се проглашава да је стандард или сродни документ донет;</w:t>
      </w:r>
    </w:p>
    <w:p w:rsidR="001A3927" w:rsidRDefault="001A3927" w:rsidP="001A3927">
      <w:pPr>
        <w:pStyle w:val="1tekst"/>
        <w:rPr>
          <w:rFonts w:ascii="Times New Roman" w:hAnsi="Times New Roman" w:cs="Times New Roman"/>
          <w:strike/>
          <w:sz w:val="24"/>
          <w:szCs w:val="24"/>
          <w:lang w:val="sr-Cyrl-RS"/>
        </w:rPr>
      </w:pPr>
      <w:r>
        <w:rPr>
          <w:rFonts w:ascii="Times New Roman" w:hAnsi="Times New Roman" w:cs="Times New Roman"/>
          <w:strike/>
          <w:sz w:val="24"/>
          <w:szCs w:val="24"/>
          <w:lang w:val="sr-Cyrl-RS"/>
        </w:rPr>
        <w:t xml:space="preserve">10) </w:t>
      </w:r>
      <w:r>
        <w:rPr>
          <w:rFonts w:ascii="Times New Roman" w:hAnsi="Times New Roman" w:cs="Times New Roman"/>
          <w:i/>
          <w:iCs/>
          <w:strike/>
          <w:sz w:val="24"/>
          <w:szCs w:val="24"/>
          <w:lang w:val="sr-Cyrl-RS"/>
        </w:rPr>
        <w:t>оцењивање усаглашености производа, процеса и услуга са српским стандардима</w:t>
      </w:r>
      <w:r>
        <w:rPr>
          <w:rFonts w:ascii="Times New Roman" w:hAnsi="Times New Roman" w:cs="Times New Roman"/>
          <w:strike/>
          <w:sz w:val="24"/>
          <w:szCs w:val="24"/>
          <w:lang w:val="sr-Cyrl-RS"/>
        </w:rPr>
        <w:t xml:space="preserve"> је активност којом се утврђује да ли су испуњени захтеви садржани у српским стандардима;</w:t>
      </w:r>
    </w:p>
    <w:p w:rsidR="001A3927" w:rsidRDefault="001A3927" w:rsidP="001A3927">
      <w:pPr>
        <w:pStyle w:val="1tekst"/>
        <w:rPr>
          <w:rFonts w:ascii="Times New Roman" w:hAnsi="Times New Roman" w:cs="Times New Roman"/>
          <w:strike/>
          <w:sz w:val="24"/>
          <w:szCs w:val="24"/>
          <w:lang w:val="sr-Cyrl-RS"/>
        </w:rPr>
      </w:pPr>
      <w:r>
        <w:rPr>
          <w:rFonts w:ascii="Times New Roman" w:hAnsi="Times New Roman" w:cs="Times New Roman"/>
          <w:strike/>
          <w:sz w:val="24"/>
          <w:szCs w:val="24"/>
          <w:lang w:val="sr-Cyrl-RS"/>
        </w:rPr>
        <w:t xml:space="preserve">11) </w:t>
      </w:r>
      <w:r>
        <w:rPr>
          <w:rFonts w:ascii="Times New Roman" w:hAnsi="Times New Roman" w:cs="Times New Roman"/>
          <w:i/>
          <w:iCs/>
          <w:strike/>
          <w:sz w:val="24"/>
          <w:szCs w:val="24"/>
          <w:lang w:val="sr-Cyrl-RS"/>
        </w:rPr>
        <w:t>национални знак усаглашености</w:t>
      </w:r>
      <w:r>
        <w:rPr>
          <w:rFonts w:ascii="Times New Roman" w:hAnsi="Times New Roman" w:cs="Times New Roman"/>
          <w:strike/>
          <w:sz w:val="24"/>
          <w:szCs w:val="24"/>
          <w:lang w:val="sr-Cyrl-RS"/>
        </w:rPr>
        <w:t xml:space="preserve"> је ознака којом се, у складу са правилима националног тела за стандардизацију у Републици Србији, потврђује усаглашеност производа, процеса и услуга са српским стандардом; </w:t>
      </w:r>
    </w:p>
    <w:p w:rsidR="001A3927" w:rsidRDefault="001A3927" w:rsidP="001A3927">
      <w:pPr>
        <w:pStyle w:val="1tekst"/>
        <w:rPr>
          <w:rFonts w:ascii="Times New Roman" w:hAnsi="Times New Roman" w:cs="Times New Roman"/>
          <w:strike/>
          <w:sz w:val="24"/>
          <w:szCs w:val="24"/>
          <w:lang w:val="sr-Cyrl-RS"/>
        </w:rPr>
      </w:pPr>
      <w:r>
        <w:rPr>
          <w:rFonts w:ascii="Times New Roman" w:hAnsi="Times New Roman" w:cs="Times New Roman"/>
          <w:strike/>
          <w:sz w:val="24"/>
          <w:szCs w:val="24"/>
          <w:lang w:val="sr-Cyrl-RS"/>
        </w:rPr>
        <w:t xml:space="preserve">12) </w:t>
      </w:r>
      <w:r>
        <w:rPr>
          <w:rFonts w:ascii="Times New Roman" w:hAnsi="Times New Roman" w:cs="Times New Roman"/>
          <w:i/>
          <w:iCs/>
          <w:strike/>
          <w:sz w:val="24"/>
          <w:szCs w:val="24"/>
          <w:lang w:val="sr-Cyrl-RS"/>
        </w:rPr>
        <w:t>међународне организације за стандардизацију</w:t>
      </w:r>
      <w:r>
        <w:rPr>
          <w:rFonts w:ascii="Times New Roman" w:hAnsi="Times New Roman" w:cs="Times New Roman"/>
          <w:strike/>
          <w:sz w:val="24"/>
          <w:szCs w:val="24"/>
          <w:lang w:val="sr-Cyrl-RS"/>
        </w:rPr>
        <w:t xml:space="preserve"> јесу организације у које се могу учланити одговарајућа национална тела за стандардизацију било које државе, и то:</w:t>
      </w:r>
    </w:p>
    <w:p w:rsidR="001A3927" w:rsidRDefault="001A3927" w:rsidP="001A3927">
      <w:pPr>
        <w:pStyle w:val="1tekst"/>
        <w:rPr>
          <w:rFonts w:ascii="Times New Roman" w:hAnsi="Times New Roman" w:cs="Times New Roman"/>
          <w:strike/>
          <w:sz w:val="24"/>
          <w:szCs w:val="24"/>
          <w:lang w:val="sr-Cyrl-RS"/>
        </w:rPr>
      </w:pPr>
      <w:r>
        <w:rPr>
          <w:rFonts w:ascii="Times New Roman" w:hAnsi="Times New Roman" w:cs="Times New Roman"/>
          <w:strike/>
          <w:sz w:val="24"/>
          <w:szCs w:val="24"/>
          <w:lang w:val="sr-Cyrl-RS"/>
        </w:rPr>
        <w:t>- Међународна организација за стандардизацију (ISO);</w:t>
      </w:r>
    </w:p>
    <w:p w:rsidR="001A3927" w:rsidRDefault="001A3927" w:rsidP="001A3927">
      <w:pPr>
        <w:pStyle w:val="1tekst"/>
        <w:rPr>
          <w:rFonts w:ascii="Times New Roman" w:hAnsi="Times New Roman" w:cs="Times New Roman"/>
          <w:strike/>
          <w:sz w:val="24"/>
          <w:szCs w:val="24"/>
          <w:lang w:val="sr-Cyrl-RS"/>
        </w:rPr>
      </w:pPr>
      <w:r>
        <w:rPr>
          <w:rFonts w:ascii="Times New Roman" w:hAnsi="Times New Roman" w:cs="Times New Roman"/>
          <w:strike/>
          <w:sz w:val="24"/>
          <w:szCs w:val="24"/>
          <w:lang w:val="sr-Cyrl-RS"/>
        </w:rPr>
        <w:t>- Међународна електротехничка комисија (IEC);</w:t>
      </w:r>
    </w:p>
    <w:p w:rsidR="001A3927" w:rsidRDefault="001A3927" w:rsidP="001A3927">
      <w:pPr>
        <w:pStyle w:val="1tekst"/>
        <w:rPr>
          <w:rFonts w:ascii="Times New Roman" w:hAnsi="Times New Roman" w:cs="Times New Roman"/>
          <w:strike/>
          <w:sz w:val="24"/>
          <w:szCs w:val="24"/>
          <w:lang w:val="sr-Cyrl-RS"/>
        </w:rPr>
      </w:pPr>
      <w:r>
        <w:rPr>
          <w:rFonts w:ascii="Times New Roman" w:hAnsi="Times New Roman" w:cs="Times New Roman"/>
          <w:strike/>
          <w:sz w:val="24"/>
          <w:szCs w:val="24"/>
          <w:lang w:val="sr-Cyrl-RS"/>
        </w:rPr>
        <w:t>- Међународна унија за телекомуникације, Сектор за стандардизацију телекомуникација (ITU);</w:t>
      </w:r>
    </w:p>
    <w:p w:rsidR="001A3927" w:rsidRDefault="001A3927" w:rsidP="001A3927">
      <w:pPr>
        <w:pStyle w:val="1tekst"/>
        <w:rPr>
          <w:rFonts w:ascii="Times New Roman" w:hAnsi="Times New Roman" w:cs="Times New Roman"/>
          <w:strike/>
          <w:sz w:val="24"/>
          <w:szCs w:val="24"/>
          <w:lang w:val="sr-Cyrl-RS"/>
        </w:rPr>
      </w:pPr>
      <w:r>
        <w:rPr>
          <w:rFonts w:ascii="Times New Roman" w:hAnsi="Times New Roman" w:cs="Times New Roman"/>
          <w:strike/>
          <w:sz w:val="24"/>
          <w:szCs w:val="24"/>
          <w:lang w:val="sr-Cyrl-RS"/>
        </w:rPr>
        <w:t xml:space="preserve">13) </w:t>
      </w:r>
      <w:r>
        <w:rPr>
          <w:rFonts w:ascii="Times New Roman" w:hAnsi="Times New Roman" w:cs="Times New Roman"/>
          <w:i/>
          <w:iCs/>
          <w:strike/>
          <w:sz w:val="24"/>
          <w:szCs w:val="24"/>
          <w:lang w:val="sr-Cyrl-RS"/>
        </w:rPr>
        <w:t>европске организације за стандардизацију</w:t>
      </w:r>
      <w:r>
        <w:rPr>
          <w:rFonts w:ascii="Times New Roman" w:hAnsi="Times New Roman" w:cs="Times New Roman"/>
          <w:strike/>
          <w:sz w:val="24"/>
          <w:szCs w:val="24"/>
          <w:lang w:val="sr-Cyrl-RS"/>
        </w:rPr>
        <w:t xml:space="preserve"> јесу организације у које се могу учланити одговарајућа национална тела за стандардизацију европских држава, и то:</w:t>
      </w:r>
    </w:p>
    <w:p w:rsidR="001A3927" w:rsidRDefault="001A3927" w:rsidP="001A3927">
      <w:pPr>
        <w:pStyle w:val="1tekst"/>
        <w:rPr>
          <w:rFonts w:ascii="Times New Roman" w:hAnsi="Times New Roman" w:cs="Times New Roman"/>
          <w:strike/>
          <w:sz w:val="24"/>
          <w:szCs w:val="24"/>
          <w:lang w:val="sr-Cyrl-RS"/>
        </w:rPr>
      </w:pPr>
      <w:r>
        <w:rPr>
          <w:rFonts w:ascii="Times New Roman" w:hAnsi="Times New Roman" w:cs="Times New Roman"/>
          <w:strike/>
          <w:sz w:val="24"/>
          <w:szCs w:val="24"/>
          <w:lang w:val="sr-Cyrl-RS"/>
        </w:rPr>
        <w:t>- Европски комитет за стандардизацију (CEN);</w:t>
      </w:r>
    </w:p>
    <w:p w:rsidR="001A3927" w:rsidRDefault="001A3927" w:rsidP="001A3927">
      <w:pPr>
        <w:pStyle w:val="1tekst"/>
        <w:rPr>
          <w:rFonts w:ascii="Times New Roman" w:hAnsi="Times New Roman" w:cs="Times New Roman"/>
          <w:strike/>
          <w:sz w:val="24"/>
          <w:szCs w:val="24"/>
          <w:lang w:val="sr-Cyrl-RS"/>
        </w:rPr>
      </w:pPr>
      <w:r>
        <w:rPr>
          <w:rFonts w:ascii="Times New Roman" w:hAnsi="Times New Roman" w:cs="Times New Roman"/>
          <w:strike/>
          <w:sz w:val="24"/>
          <w:szCs w:val="24"/>
          <w:lang w:val="sr-Cyrl-RS"/>
        </w:rPr>
        <w:t>- Европски комитет за стандардизацију у области електротехнике (CENELEC);</w:t>
      </w:r>
    </w:p>
    <w:p w:rsidR="001A3927" w:rsidRDefault="001A3927" w:rsidP="001A3927">
      <w:pPr>
        <w:pStyle w:val="1tekst"/>
        <w:rPr>
          <w:rFonts w:ascii="Times New Roman" w:hAnsi="Times New Roman" w:cs="Times New Roman"/>
          <w:strike/>
          <w:sz w:val="24"/>
          <w:szCs w:val="24"/>
          <w:lang w:val="sr-Cyrl-RS"/>
        </w:rPr>
      </w:pPr>
      <w:r>
        <w:rPr>
          <w:rFonts w:ascii="Times New Roman" w:hAnsi="Times New Roman" w:cs="Times New Roman"/>
          <w:strike/>
          <w:sz w:val="24"/>
          <w:szCs w:val="24"/>
          <w:lang w:val="sr-Cyrl-RS"/>
        </w:rPr>
        <w:t xml:space="preserve">- Европски институт за стандарде из области телекомуникација (ETSI). </w:t>
      </w:r>
    </w:p>
    <w:p w:rsidR="001A3927" w:rsidRDefault="001A3927" w:rsidP="001A3927">
      <w:pPr>
        <w:pStyle w:val="1tekst"/>
        <w:rPr>
          <w:rFonts w:ascii="Times New Roman" w:hAnsi="Times New Roman" w:cs="Times New Roman"/>
          <w:sz w:val="24"/>
          <w:szCs w:val="24"/>
          <w:lang w:val="sr-Cyrl-RS"/>
        </w:rPr>
      </w:pPr>
    </w:p>
    <w:p w:rsidR="001A3927" w:rsidRDefault="001A3927" w:rsidP="001A3927">
      <w:pPr>
        <w:autoSpaceDE w:val="0"/>
        <w:autoSpaceDN w:val="0"/>
        <w:adjustRightInd w:val="0"/>
        <w:jc w:val="center"/>
        <w:rPr>
          <w:rFonts w:ascii="Times New Roman" w:hAnsi="Times New Roman"/>
          <w:sz w:val="24"/>
          <w:szCs w:val="24"/>
          <w:lang w:val="sr-Cyrl-RS"/>
        </w:rPr>
      </w:pPr>
      <w:r>
        <w:rPr>
          <w:lang w:val="sr-Cyrl-RS"/>
        </w:rPr>
        <w:t>„ЧЛАН 3.</w:t>
      </w:r>
    </w:p>
    <w:p w:rsidR="001A3927" w:rsidRDefault="001A3927" w:rsidP="001A3927">
      <w:pPr>
        <w:autoSpaceDE w:val="0"/>
        <w:autoSpaceDN w:val="0"/>
        <w:adjustRightInd w:val="0"/>
        <w:jc w:val="center"/>
        <w:rPr>
          <w:lang w:val="sr-Cyrl-RS"/>
        </w:rPr>
      </w:pPr>
    </w:p>
    <w:p w:rsidR="001A3927" w:rsidRDefault="001A3927" w:rsidP="001A3927">
      <w:pPr>
        <w:tabs>
          <w:tab w:val="left" w:pos="709"/>
        </w:tabs>
        <w:autoSpaceDE w:val="0"/>
        <w:autoSpaceDN w:val="0"/>
        <w:adjustRightInd w:val="0"/>
        <w:jc w:val="both"/>
        <w:rPr>
          <w:lang w:val="sr-Cyrl-RS"/>
        </w:rPr>
      </w:pPr>
      <w:r>
        <w:rPr>
          <w:lang w:val="sr-Cyrl-RS"/>
        </w:rPr>
        <w:t xml:space="preserve">             ПОЈЕДИНИ ИЗРАЗИ УПОТРЕБЉЕНИ У ОВОМ ЗАКОНУ ИМАЈУ СЛЕДЕЋЕ ЗНАЧЕЊЕ:</w:t>
      </w:r>
    </w:p>
    <w:p w:rsidR="001A3927" w:rsidRDefault="001A3927" w:rsidP="001A3927">
      <w:pPr>
        <w:autoSpaceDE w:val="0"/>
        <w:autoSpaceDN w:val="0"/>
        <w:adjustRightInd w:val="0"/>
        <w:jc w:val="both"/>
        <w:rPr>
          <w:lang w:val="sr-Cyrl-RS"/>
        </w:rPr>
      </w:pPr>
    </w:p>
    <w:p w:rsidR="001A3927" w:rsidRDefault="001A3927" w:rsidP="001A3927">
      <w:pPr>
        <w:autoSpaceDE w:val="0"/>
        <w:autoSpaceDN w:val="0"/>
        <w:adjustRightInd w:val="0"/>
        <w:ind w:firstLine="720"/>
        <w:jc w:val="both"/>
        <w:rPr>
          <w:lang w:val="sr-Cyrl-RS"/>
        </w:rPr>
      </w:pPr>
      <w:r>
        <w:rPr>
          <w:lang w:val="sr-Cyrl-RS"/>
        </w:rPr>
        <w:t xml:space="preserve">1) </w:t>
      </w:r>
      <w:r>
        <w:rPr>
          <w:i/>
          <w:lang w:val="sr-Cyrl-RS"/>
        </w:rPr>
        <w:t>СТАНДАРДИЗАЦИЈА</w:t>
      </w:r>
      <w:r>
        <w:rPr>
          <w:lang w:val="sr-Cyrl-RS"/>
        </w:rPr>
        <w:t xml:space="preserve"> ЈЕ СКУП КООРДИНИРАНИХ АКТИВНОСТИ НА ДОНОШЕЊУ СТАНДАРДА И СРОДНИХ ДОКУМЕНАТА;</w:t>
      </w:r>
    </w:p>
    <w:p w:rsidR="001A3927" w:rsidRDefault="001A3927" w:rsidP="001A3927">
      <w:pPr>
        <w:tabs>
          <w:tab w:val="left" w:pos="993"/>
        </w:tabs>
        <w:autoSpaceDE w:val="0"/>
        <w:autoSpaceDN w:val="0"/>
        <w:adjustRightInd w:val="0"/>
        <w:ind w:firstLine="720"/>
        <w:jc w:val="both"/>
        <w:rPr>
          <w:lang w:val="sr-Cyrl-RS"/>
        </w:rPr>
      </w:pPr>
      <w:r>
        <w:rPr>
          <w:lang w:val="sr-Cyrl-RS"/>
        </w:rPr>
        <w:lastRenderedPageBreak/>
        <w:t>2</w:t>
      </w:r>
      <w:r>
        <w:rPr>
          <w:i/>
          <w:iCs/>
          <w:lang w:val="sr-Cyrl-RS"/>
        </w:rPr>
        <w:t>)</w:t>
      </w:r>
      <w:r>
        <w:rPr>
          <w:i/>
          <w:iCs/>
          <w:lang w:val="sr-Cyrl-RS"/>
        </w:rPr>
        <w:tab/>
      </w:r>
      <w:r>
        <w:rPr>
          <w:i/>
          <w:lang w:val="sr-Cyrl-RS"/>
        </w:rPr>
        <w:t>СТАНДАРД</w:t>
      </w:r>
      <w:r>
        <w:rPr>
          <w:lang w:val="sr-Cyrl-RS"/>
        </w:rPr>
        <w:t xml:space="preserve"> ЈЕ ТЕХНИЧКА СПЕЦИФИКАЦИЈА КОЈУ ЈЕ ДОНЕЛО НАЦИОНАЛНО ТЕЛО ЗА СТАНДАРДИЗАЦИЈУ ЗА ВИШЕКРАТНУ ИЛИ СТАЛНУ УПОТРЕБУ СА КОЈОМ УСАГЛАШЕНОСТ ПРОИЗВОДА, ПРОЦЕСА И УСЛУГА НИЈЕ ОБАВЕЗНА;</w:t>
      </w:r>
    </w:p>
    <w:p w:rsidR="001A3927" w:rsidRDefault="001A3927" w:rsidP="001A3927">
      <w:pPr>
        <w:autoSpaceDE w:val="0"/>
        <w:autoSpaceDN w:val="0"/>
        <w:adjustRightInd w:val="0"/>
        <w:ind w:firstLine="720"/>
        <w:jc w:val="both"/>
        <w:rPr>
          <w:lang w:val="sr-Cyrl-RS"/>
        </w:rPr>
      </w:pPr>
      <w:r>
        <w:rPr>
          <w:lang w:val="sr-Cyrl-RS"/>
        </w:rPr>
        <w:t xml:space="preserve">3) </w:t>
      </w:r>
      <w:r>
        <w:rPr>
          <w:i/>
          <w:lang w:val="sr-Cyrl-RS"/>
        </w:rPr>
        <w:t>МЕЂУНАРОДНИ СТАНДАРД</w:t>
      </w:r>
      <w:r>
        <w:rPr>
          <w:lang w:val="sr-Cyrl-RS"/>
        </w:rPr>
        <w:t xml:space="preserve"> ЈЕ СТАНДАРД КОЈИ ЈЕ ДОНЕЛА МЕЂУНАРОДНА ОРГАНИЗАЦИЈА ЗА СТАНДАРДИЗАЦИЈУ;</w:t>
      </w:r>
    </w:p>
    <w:p w:rsidR="001A3927" w:rsidRDefault="001A3927" w:rsidP="001A3927">
      <w:pPr>
        <w:tabs>
          <w:tab w:val="left" w:pos="993"/>
        </w:tabs>
        <w:autoSpaceDE w:val="0"/>
        <w:autoSpaceDN w:val="0"/>
        <w:adjustRightInd w:val="0"/>
        <w:ind w:firstLine="720"/>
        <w:jc w:val="both"/>
        <w:rPr>
          <w:lang w:val="sr-Cyrl-RS"/>
        </w:rPr>
      </w:pPr>
      <w:r>
        <w:rPr>
          <w:lang w:val="sr-Cyrl-RS"/>
        </w:rPr>
        <w:t>4)</w:t>
      </w:r>
      <w:r>
        <w:rPr>
          <w:lang w:val="sr-Cyrl-RS"/>
        </w:rPr>
        <w:tab/>
      </w:r>
      <w:r>
        <w:rPr>
          <w:i/>
          <w:lang w:val="sr-Cyrl-RS"/>
        </w:rPr>
        <w:t>ЕВРОПСКИ СТАНДАРД</w:t>
      </w:r>
      <w:r>
        <w:rPr>
          <w:lang w:val="sr-Cyrl-RS"/>
        </w:rPr>
        <w:t xml:space="preserve"> ЈЕ СТАНДАРД КОЈИ ЈЕ ДОНЕЛА ЕВРОПСКА ОРГАНИЗАЦИЈА ЗА СТАНДАРДИЗАЦИЈУ;</w:t>
      </w:r>
    </w:p>
    <w:p w:rsidR="001A3927" w:rsidRDefault="001A3927" w:rsidP="001A3927">
      <w:pPr>
        <w:autoSpaceDE w:val="0"/>
        <w:autoSpaceDN w:val="0"/>
        <w:adjustRightInd w:val="0"/>
        <w:ind w:firstLine="720"/>
        <w:jc w:val="both"/>
        <w:rPr>
          <w:lang w:val="sr-Cyrl-RS"/>
        </w:rPr>
      </w:pPr>
      <w:r>
        <w:rPr>
          <w:lang w:val="sr-Cyrl-RS"/>
        </w:rPr>
        <w:t xml:space="preserve">5) </w:t>
      </w:r>
      <w:r>
        <w:rPr>
          <w:i/>
          <w:lang w:val="sr-Cyrl-RS"/>
        </w:rPr>
        <w:t xml:space="preserve">ХАРМОНИЗОВАНИ СТАНДАРД </w:t>
      </w:r>
      <w:r>
        <w:rPr>
          <w:lang w:val="sr-Cyrl-RS"/>
        </w:rPr>
        <w:t xml:space="preserve">ЈЕ ЕВРОПСКИ СТАНДАРД КОЈИ ЈЕ ДОНЕТ НА ОСНОВУ ЗАХТЕВА ЕВРОПСКЕ КОМИСИЈЕ ЗА ПРИМЕНУ У ХАРМОНИЗОВАНОМ ЗАКОНОДАВСТВУ ЕВРОПСКЕ УНИЈЕ; </w:t>
      </w:r>
    </w:p>
    <w:p w:rsidR="001A3927" w:rsidRDefault="001A3927" w:rsidP="001A3927">
      <w:pPr>
        <w:tabs>
          <w:tab w:val="left" w:pos="993"/>
        </w:tabs>
        <w:autoSpaceDE w:val="0"/>
        <w:autoSpaceDN w:val="0"/>
        <w:adjustRightInd w:val="0"/>
        <w:ind w:firstLine="720"/>
        <w:jc w:val="both"/>
        <w:rPr>
          <w:lang w:val="sr-Cyrl-RS"/>
        </w:rPr>
      </w:pPr>
      <w:r>
        <w:rPr>
          <w:lang w:val="sr-Cyrl-RS"/>
        </w:rPr>
        <w:t>6)</w:t>
      </w:r>
      <w:r>
        <w:rPr>
          <w:lang w:val="sr-Cyrl-RS"/>
        </w:rPr>
        <w:tab/>
      </w:r>
      <w:r>
        <w:rPr>
          <w:i/>
          <w:lang w:val="sr-Cyrl-RS"/>
        </w:rPr>
        <w:t>НАЦИОНАЛНИ СТАНДАРД</w:t>
      </w:r>
      <w:r>
        <w:rPr>
          <w:lang w:val="sr-Cyrl-RS"/>
        </w:rPr>
        <w:t xml:space="preserve"> ЈЕ СТАНДАРД КОЈИ ЈЕ ДОНЕЛО НАЦИОНАЛНО ТЕЛО ЗА СТАНДАРДИЗАЦИЈУ;</w:t>
      </w:r>
    </w:p>
    <w:p w:rsidR="001A3927" w:rsidRDefault="001A3927" w:rsidP="001A3927">
      <w:pPr>
        <w:autoSpaceDE w:val="0"/>
        <w:autoSpaceDN w:val="0"/>
        <w:adjustRightInd w:val="0"/>
        <w:ind w:firstLine="720"/>
        <w:jc w:val="both"/>
        <w:rPr>
          <w:lang w:val="sr-Cyrl-RS"/>
        </w:rPr>
      </w:pPr>
      <w:r>
        <w:rPr>
          <w:lang w:val="sr-Cyrl-RS"/>
        </w:rPr>
        <w:t xml:space="preserve">7) </w:t>
      </w:r>
      <w:r>
        <w:rPr>
          <w:i/>
          <w:lang w:val="sr-Cyrl-RS"/>
        </w:rPr>
        <w:t>СРПСКИ СТАНДАРД</w:t>
      </w:r>
      <w:r>
        <w:rPr>
          <w:lang w:val="sr-Cyrl-RS"/>
        </w:rPr>
        <w:t xml:space="preserve"> ЈЕ СТАНДАРД КОЈИ ЈЕ ДОНЕЛО НАЦИОНАЛНО ТЕЛО ЗА СТАНДАРДИЗАЦИЈУ У РЕПУБЛИЦИ СРБИЈИ;</w:t>
      </w:r>
    </w:p>
    <w:p w:rsidR="001A3927" w:rsidRDefault="001A3927" w:rsidP="001A3927">
      <w:pPr>
        <w:tabs>
          <w:tab w:val="left" w:pos="993"/>
        </w:tabs>
        <w:autoSpaceDE w:val="0"/>
        <w:autoSpaceDN w:val="0"/>
        <w:adjustRightInd w:val="0"/>
        <w:ind w:firstLine="720"/>
        <w:jc w:val="both"/>
        <w:rPr>
          <w:strike/>
          <w:lang w:val="sr-Cyrl-RS"/>
        </w:rPr>
      </w:pPr>
      <w:r>
        <w:rPr>
          <w:lang w:val="sr-Cyrl-RS"/>
        </w:rPr>
        <w:t>8)</w:t>
      </w:r>
      <w:r>
        <w:rPr>
          <w:lang w:val="sr-Cyrl-RS"/>
        </w:rPr>
        <w:tab/>
      </w:r>
      <w:r>
        <w:rPr>
          <w:i/>
          <w:lang w:val="sr-Cyrl-RS"/>
        </w:rPr>
        <w:t>СРОДНИ ДОКУМЕНТ</w:t>
      </w:r>
      <w:r>
        <w:rPr>
          <w:lang w:val="sr-Cyrl-RS"/>
        </w:rPr>
        <w:t xml:space="preserve"> ЈЕ БИЛО КОЈА ТЕХНИЧКА СПЕЦИФИКАЦИЈА, А КОЈА НИЈЕ СТАНДАРД, КОЈУ ЈЕ ДОНЕЛА МЕЂУНАРОДНА ИЛИ ЕВРОПСКА ОРГАНИЗАЦИЈА ЗА СТАНДАРДИЗАЦИЈУ, ОДНОСНО НАЦИОНАЛНО ТЕЛО ЗА СТАНДАРДИЗАЦИЈУ, ЗА ВИШЕКРАТНУ ИЛИ СТАЛНУ УПОТРЕБУ И СА КОЈОМ УСАГЛАШЕНОСТ ПРОИЗВОДА, ПРОЦЕСА И УСЛУГА НИЈЕ ОБАВЕЗНА;</w:t>
      </w:r>
    </w:p>
    <w:p w:rsidR="001A3927" w:rsidRDefault="001A3927" w:rsidP="001A3927">
      <w:pPr>
        <w:autoSpaceDE w:val="0"/>
        <w:autoSpaceDN w:val="0"/>
        <w:adjustRightInd w:val="0"/>
        <w:ind w:firstLine="720"/>
        <w:jc w:val="both"/>
        <w:rPr>
          <w:lang w:val="sr-Cyrl-RS"/>
        </w:rPr>
      </w:pPr>
      <w:r>
        <w:rPr>
          <w:lang w:val="sr-Cyrl-RS"/>
        </w:rPr>
        <w:t xml:space="preserve">9) </w:t>
      </w:r>
      <w:r>
        <w:rPr>
          <w:i/>
          <w:lang w:val="sr-Cyrl-RS"/>
        </w:rPr>
        <w:t>НАЦРТ СТАНДАРДА</w:t>
      </w:r>
      <w:r>
        <w:rPr>
          <w:lang w:val="sr-Cyrl-RS"/>
        </w:rPr>
        <w:t xml:space="preserve"> ЈЕ ТЕХНИЧКА СПЕЦИФИКАЦИЈА О ОДРЕЂЕНОМ ПРЕДМЕТУ СТАНДАРДИЗАЦИЈЕ, КОЈИ СЕ РАЗМАТРА РАДИ ДОНОШЕЊА И КОЈИ СЕ, У СКЛАДУ СА ПОСТУПКОМ ЗА ДОНОШЕЊЕ СТАНДАРДА, НАКОН ФАЗА ПРИПРЕМЕ, СТАВЉА НА ЈАВНУ РАСПРАВУ ИЛИ РАЗМАТРАЊЕ;</w:t>
      </w:r>
    </w:p>
    <w:p w:rsidR="001A3927" w:rsidRDefault="001A3927" w:rsidP="001A3927">
      <w:pPr>
        <w:ind w:firstLine="720"/>
        <w:jc w:val="both"/>
        <w:rPr>
          <w:lang w:val="sr-Cyrl-RS"/>
        </w:rPr>
      </w:pPr>
      <w:r>
        <w:rPr>
          <w:lang w:val="sr-Cyrl-RS"/>
        </w:rPr>
        <w:t xml:space="preserve">10) </w:t>
      </w:r>
      <w:r>
        <w:rPr>
          <w:i/>
          <w:lang w:val="sr-Cyrl-RS"/>
        </w:rPr>
        <w:t>ТЕХНИЧКА СПЕЦИФИКАЦИЈА</w:t>
      </w:r>
      <w:r>
        <w:rPr>
          <w:lang w:val="sr-Cyrl-RS"/>
        </w:rPr>
        <w:t xml:space="preserve"> JE ДОКУМЕНТ КОЈИ УТВРЂУЈЕ ТЕХНИЧКЕ ЗАХТЕВЕ КОЈЕ ТРЕБА ДА ИСПУНИ ПРОИЗВОД, ПРОЦЕС ИЛИ УСЛУГА И КОЈИМ СЕ УТВРЂУЈЕ НАЈМАЊЕ ЈЕДАН ОД СЛЕДЕЋИХ ЕЛЕМЕНАТА:</w:t>
      </w:r>
    </w:p>
    <w:p w:rsidR="001A3927" w:rsidRDefault="001A3927" w:rsidP="001A3927">
      <w:pPr>
        <w:ind w:firstLine="720"/>
        <w:jc w:val="both"/>
        <w:rPr>
          <w:lang w:val="sr-Cyrl-RS"/>
        </w:rPr>
      </w:pPr>
      <w:r>
        <w:rPr>
          <w:lang w:val="sr-Cyrl-RS"/>
        </w:rPr>
        <w:t>- ПОТРЕБНЕ КАРАКТЕРИСТИКЕ ПРОИЗВОДА КОЈЕ СЕ ОДНОСЕ НА НИВО КВАЛИТЕТА, ПЕРФОРМАНСЕ, ИНТЕРОПЕРАБИЛНОСТ, ЗАШТИТУ ЖИВОТНЕ СРЕДИНЕ, ЗАШТИТУ ЗДРАВЉА И БЕЗБЕДНОСТИ, КАО И ДИМЕНЗИЈЕ, УКЉУЧУЈУЋИ ЗАХТЕВЕ КОЈИ СЕ ОДНОСЕ НА НАЗИВ ПОД КОЈИМ СЕ ПРОИЗВОД ПРОДАЈЕ, ТЕРМИНОЛОГИЈУ, СИМБОЛЕ, ИСПИТИВАЊА И МЕТОДЕ ИСПИТИВАЊА, ПАКОВАЊЕ, ОЗНАЧАВАЊЕ ИЛИ ОБЕЛЕЖАВАЊЕ, ПОСТУПКЕ ОЦЕЊИВАЊА УСАГЛАШЕНОСТИ И ДРУГЕ СЛИЧНЕ ЕЛЕМЕНТЕ;</w:t>
      </w:r>
    </w:p>
    <w:p w:rsidR="001A3927" w:rsidRDefault="001A3927" w:rsidP="001A3927">
      <w:pPr>
        <w:ind w:firstLine="720"/>
        <w:jc w:val="both"/>
        <w:rPr>
          <w:lang w:val="sr-Cyrl-RS"/>
        </w:rPr>
      </w:pPr>
      <w:r>
        <w:rPr>
          <w:lang w:val="sr-Cyrl-RS"/>
        </w:rPr>
        <w:t>- МЕТОДЕ ПРОИЗВОДЊЕ И ПРОЦЕСИ КОЈИ СЕ КОРИСТЕ ЗА ПОЉОПРИВРЕДНЕ ПРОИЗВОДЕ, ПРОИЗВОДЕ НАМЕЊЕНЕ ЗА ИСХРАНУ ЉУДИ ИЛИ ЖИВОТИЊА И МЕДИЦИНСКЕ ПРОИЗВОДЕ, КАО И МЕТОДЕ ПРОИЗВОДЊЕ И ПРОЦЕСЕ КОЈИ СЕ ОДНОСЕ НА ДРУГЕ ПРОИЗВОДЕ КАДА ОНИ УТИЧУ НА КАРАКТЕРИСТИКЕ ПРОИЗВОДА;</w:t>
      </w:r>
    </w:p>
    <w:p w:rsidR="001A3927" w:rsidRDefault="001A3927" w:rsidP="001A3927">
      <w:pPr>
        <w:ind w:firstLine="720"/>
        <w:jc w:val="both"/>
        <w:rPr>
          <w:lang w:val="sr-Cyrl-RS"/>
        </w:rPr>
      </w:pPr>
      <w:r>
        <w:rPr>
          <w:lang w:val="sr-Cyrl-RS"/>
        </w:rPr>
        <w:lastRenderedPageBreak/>
        <w:t>- ПОТРЕБНЕ КАРАКТЕРИСТИКЕ ЗА УСЛУГЕ, КАО ШТО СУ НИВО КВАЛИТЕТА, ПЕРФОРМАНСЕ, ИНТЕРОПЕРАБИЛНОСТ, ЗАШТИТА ЖИВОТНЕ СРЕДИНЕ, ЗАШТИТА ЗДРАВЉА И БЕЗБЕДНОСТИ, УКЉУЧУЈУЋИ ЗАХТЕВЕ ПРИМЕЊИВЕ НА ПРУЖАОЦА УСЛУГЕ КОЈИ СЕ ОДНОСЕ НА ПОДАТКЕ КОЈЕ ТРЕБА СТАВИТИ НА РАСПОЛАГАЊЕ ПРИМАОЦУ;</w:t>
      </w:r>
    </w:p>
    <w:p w:rsidR="001A3927" w:rsidRDefault="001A3927" w:rsidP="001A3927">
      <w:pPr>
        <w:ind w:firstLine="720"/>
        <w:jc w:val="both"/>
        <w:rPr>
          <w:lang w:val="sr-Cyrl-RS"/>
        </w:rPr>
      </w:pPr>
      <w:r>
        <w:rPr>
          <w:lang w:val="sr-Cyrl-RS"/>
        </w:rPr>
        <w:t>- МЕТОДЕ И КРИТЕРИЈУМИ ЗА ОЦЕЊИВАЊЕ ПЕРФОРМАНСИ ГРАЂЕВИНСКИХ ПРОИЗВОДА;</w:t>
      </w:r>
    </w:p>
    <w:p w:rsidR="001A3927" w:rsidRDefault="001A3927" w:rsidP="001A3927">
      <w:pPr>
        <w:tabs>
          <w:tab w:val="left" w:pos="1134"/>
        </w:tabs>
        <w:autoSpaceDE w:val="0"/>
        <w:autoSpaceDN w:val="0"/>
        <w:adjustRightInd w:val="0"/>
        <w:ind w:firstLine="720"/>
        <w:jc w:val="both"/>
        <w:rPr>
          <w:lang w:val="sr-Cyrl-RS"/>
        </w:rPr>
      </w:pPr>
      <w:r>
        <w:rPr>
          <w:lang w:val="sr-Cyrl-RS"/>
        </w:rPr>
        <w:t>11)</w:t>
      </w:r>
      <w:r>
        <w:rPr>
          <w:lang w:val="sr-Cyrl-RS"/>
        </w:rPr>
        <w:tab/>
      </w:r>
      <w:r>
        <w:rPr>
          <w:i/>
          <w:lang w:val="sr-Cyrl-RS"/>
        </w:rPr>
        <w:t>ЗАИНТЕРЕСОВАНА СТРАНА</w:t>
      </w:r>
      <w:r>
        <w:rPr>
          <w:lang w:val="sr-Cyrl-RS"/>
        </w:rPr>
        <w:t xml:space="preserve"> ЈЕ ОРГАН ДРЖАВНЕ УПРАВЕ, ПРИВРЕДНО ДРУШТВО, ПРЕДУЗЕТНИК, ОРГАНИЗАЦИЈА ПОТРОШАЧА, КАО И ДРУГО ПРАВНО ИЛИ ФИЗИЧКО ЛИЦЕ КОЈЕ ПОКАЗУЈЕ ИНТЕРЕС ЗА СТАНДАРДИЗАЦИЈУ;</w:t>
      </w:r>
    </w:p>
    <w:p w:rsidR="001A3927" w:rsidRDefault="001A3927" w:rsidP="001A3927">
      <w:pPr>
        <w:autoSpaceDE w:val="0"/>
        <w:autoSpaceDN w:val="0"/>
        <w:adjustRightInd w:val="0"/>
        <w:ind w:firstLine="720"/>
        <w:jc w:val="both"/>
        <w:rPr>
          <w:lang w:val="sr-Cyrl-RS"/>
        </w:rPr>
      </w:pPr>
      <w:r>
        <w:rPr>
          <w:lang w:val="sr-Cyrl-RS"/>
        </w:rPr>
        <w:t xml:space="preserve">12) </w:t>
      </w:r>
      <w:r>
        <w:rPr>
          <w:i/>
          <w:lang w:val="sr-Cyrl-RS"/>
        </w:rPr>
        <w:t>КОНСЕНЗУС</w:t>
      </w:r>
      <w:r>
        <w:rPr>
          <w:lang w:val="sr-Cyrl-RS"/>
        </w:rPr>
        <w:t xml:space="preserve"> ЈЕ НАЧЕЛНА САГЛАСНОСТ О БИЛО КОМ ЗНАЧАЈНОМ ПИТАЊУ, ПОСТИГНУТА ТАКО ДА СЕ УЗМУ У ОБЗИР СТАНОВИШТА СВИХ ЗАИНТЕРЕСОВАНИХ СТРАНА И ДА СЕ УСАГЛАСЕ СВИ СУПРОТСТАВЉЕНИ СТАВОВИ, ПРИ ЧЕМУ СЕ ПОД КОНСЕНЗУСОМ НЕ ПОДРАЗУМЕВА ЈЕДНОГЛАСНОСТ У ДОНОШЕЊУ СТАНДАРДА;</w:t>
      </w:r>
    </w:p>
    <w:p w:rsidR="001A3927" w:rsidRDefault="001A3927" w:rsidP="001A3927">
      <w:pPr>
        <w:tabs>
          <w:tab w:val="left" w:pos="1134"/>
        </w:tabs>
        <w:autoSpaceDE w:val="0"/>
        <w:autoSpaceDN w:val="0"/>
        <w:adjustRightInd w:val="0"/>
        <w:ind w:firstLine="720"/>
        <w:jc w:val="both"/>
        <w:rPr>
          <w:lang w:val="sr-Cyrl-RS"/>
        </w:rPr>
      </w:pPr>
      <w:r>
        <w:rPr>
          <w:lang w:val="sr-Cyrl-RS"/>
        </w:rPr>
        <w:t>13)</w:t>
      </w:r>
      <w:r>
        <w:rPr>
          <w:lang w:val="sr-Cyrl-RS"/>
        </w:rPr>
        <w:tab/>
      </w:r>
      <w:r>
        <w:rPr>
          <w:i/>
          <w:lang w:val="sr-Cyrl-RS"/>
        </w:rPr>
        <w:t>ДОНОШЕЊЕ СТАНДАРДА ИЛИ СРОДНОГ ДОКУМЕНТА</w:t>
      </w:r>
      <w:r>
        <w:rPr>
          <w:lang w:val="sr-Cyrl-RS"/>
        </w:rPr>
        <w:t xml:space="preserve"> ЈЕ СКУП КООРДИНИРАНИХ АКТИВНОСТИ КОЈЕ ЗАПОЧИЊУ УСВАЈАЊЕМ ПРЕДЛОГА ЗА ДОНОШЕЊЕ СТАНДАРДА ИЛИ СРОДНОГ ДОКУМЕНТА, А ЗАВРШАВАЈУ СЕ ДОНОШЕЊЕМ АКТА КОЈИМ СЕ ПРОГЛАШАВА ДА ЈЕ СТАНДАРД ИЛИ СРОДНИ ДОКУМЕНТ ДОНЕТ;</w:t>
      </w:r>
    </w:p>
    <w:p w:rsidR="001A3927" w:rsidRDefault="001A3927" w:rsidP="001A3927">
      <w:pPr>
        <w:tabs>
          <w:tab w:val="left" w:pos="1134"/>
        </w:tabs>
        <w:autoSpaceDE w:val="0"/>
        <w:autoSpaceDN w:val="0"/>
        <w:adjustRightInd w:val="0"/>
        <w:ind w:firstLine="720"/>
        <w:jc w:val="both"/>
        <w:rPr>
          <w:lang w:val="sr-Cyrl-RS"/>
        </w:rPr>
      </w:pPr>
      <w:r>
        <w:rPr>
          <w:lang w:val="sr-Cyrl-RS"/>
        </w:rPr>
        <w:t>14)</w:t>
      </w:r>
      <w:r>
        <w:rPr>
          <w:lang w:val="sr-Cyrl-RS"/>
        </w:rPr>
        <w:tab/>
      </w:r>
      <w:r>
        <w:rPr>
          <w:i/>
          <w:lang w:val="sr-Cyrl-RS"/>
        </w:rPr>
        <w:t>ОЦЕЊИВАЊЕ УСАГЛАШЕНОСТИ ПРОИЗВОДА, ПРОЦЕСА И УСЛУГА СА СРПСКИМ СТАНДАРДИМА</w:t>
      </w:r>
      <w:r>
        <w:rPr>
          <w:lang w:val="sr-Cyrl-RS"/>
        </w:rPr>
        <w:t xml:space="preserve"> ЈЕ АКТИВНОСТ КОЈОМ СЕ УТВРЂУЈЕ ДА ЛИ СУ ИСПУЊЕНИ ЗАХТЕВИ САДРЖАНИ У СРПСКИМ СТАНДАРДИМА;</w:t>
      </w:r>
    </w:p>
    <w:p w:rsidR="001A3927" w:rsidRDefault="001A3927" w:rsidP="001A3927">
      <w:pPr>
        <w:autoSpaceDE w:val="0"/>
        <w:autoSpaceDN w:val="0"/>
        <w:adjustRightInd w:val="0"/>
        <w:ind w:firstLine="720"/>
        <w:jc w:val="both"/>
        <w:rPr>
          <w:lang w:val="sr-Cyrl-RS"/>
        </w:rPr>
      </w:pPr>
      <w:r>
        <w:rPr>
          <w:lang w:val="sr-Cyrl-RS"/>
        </w:rPr>
        <w:t xml:space="preserve">15) </w:t>
      </w:r>
      <w:r>
        <w:rPr>
          <w:i/>
          <w:lang w:val="sr-Cyrl-RS"/>
        </w:rPr>
        <w:t>НАЦИОНАЛНИ ЗНАК УСАГЛАШЕНОСТИ</w:t>
      </w:r>
      <w:r>
        <w:rPr>
          <w:lang w:val="sr-Cyrl-RS"/>
        </w:rPr>
        <w:t xml:space="preserve"> ЈЕ ОЗНАКА КОЈОМ СЕ, У СКЛАДУ СА ПРАВИЛИМА НАЦИОНАЛНОГ ТЕЛА ЗА СТАНДАРДИЗАЦИЈУ У РЕПУБЛИЦИ СРБИЈИ, ПОТВРЂУЈЕ УСАГЛАШЕНОСТ ПРОИЗВОДА, ПРОЦЕСА И УСЛУГА СА СРПСКИМ СТАНДАРДОМ;</w:t>
      </w:r>
    </w:p>
    <w:p w:rsidR="001A3927" w:rsidRDefault="001A3927" w:rsidP="001A3927">
      <w:pPr>
        <w:autoSpaceDE w:val="0"/>
        <w:autoSpaceDN w:val="0"/>
        <w:adjustRightInd w:val="0"/>
        <w:ind w:firstLine="720"/>
        <w:jc w:val="both"/>
        <w:rPr>
          <w:lang w:val="sr-Cyrl-RS"/>
        </w:rPr>
      </w:pPr>
      <w:r>
        <w:rPr>
          <w:lang w:val="sr-Cyrl-RS"/>
        </w:rPr>
        <w:t xml:space="preserve">16) </w:t>
      </w:r>
      <w:r>
        <w:rPr>
          <w:i/>
          <w:lang w:val="sr-Cyrl-RS"/>
        </w:rPr>
        <w:t>МЕЂУНАРОДНЕ ОРГАНИЗАЦИЈЕ ЗА СТАНДАРДИЗАЦИЈУ</w:t>
      </w:r>
      <w:r>
        <w:rPr>
          <w:lang w:val="sr-Cyrl-RS"/>
        </w:rPr>
        <w:t xml:space="preserve"> СУ:</w:t>
      </w:r>
    </w:p>
    <w:p w:rsidR="001A3927" w:rsidRDefault="001A3927" w:rsidP="001A3927">
      <w:pPr>
        <w:autoSpaceDE w:val="0"/>
        <w:autoSpaceDN w:val="0"/>
        <w:adjustRightInd w:val="0"/>
        <w:ind w:left="720"/>
        <w:jc w:val="both"/>
        <w:rPr>
          <w:lang w:val="sr-Cyrl-RS"/>
        </w:rPr>
      </w:pPr>
      <w:r>
        <w:rPr>
          <w:lang w:val="sr-Cyrl-RS"/>
        </w:rPr>
        <w:t>- МЕЂУНАРОДНА ОРГАНИЗАЦИЈА ЗА СТАНДАРДИЗАЦИЈУ (ISO);</w:t>
      </w:r>
    </w:p>
    <w:p w:rsidR="001A3927" w:rsidRDefault="001A3927" w:rsidP="001A3927">
      <w:pPr>
        <w:autoSpaceDE w:val="0"/>
        <w:autoSpaceDN w:val="0"/>
        <w:adjustRightInd w:val="0"/>
        <w:ind w:left="720"/>
        <w:jc w:val="both"/>
        <w:rPr>
          <w:lang w:val="sr-Cyrl-RS"/>
        </w:rPr>
      </w:pPr>
      <w:r>
        <w:rPr>
          <w:lang w:val="sr-Cyrl-RS"/>
        </w:rPr>
        <w:t>- МЕЂУНАРОДНА ЕЛЕКТРОТЕХНИЧКА КОМИСИЈА (IEC);</w:t>
      </w:r>
    </w:p>
    <w:p w:rsidR="001A3927" w:rsidRDefault="001A3927" w:rsidP="001A3927">
      <w:pPr>
        <w:autoSpaceDE w:val="0"/>
        <w:autoSpaceDN w:val="0"/>
        <w:adjustRightInd w:val="0"/>
        <w:ind w:left="714"/>
        <w:jc w:val="both"/>
        <w:rPr>
          <w:lang w:val="sr-Cyrl-RS"/>
        </w:rPr>
      </w:pPr>
      <w:r>
        <w:rPr>
          <w:lang w:val="sr-Cyrl-RS"/>
        </w:rPr>
        <w:t>- МЕЂУНАРОДНА УНИЈА ЗА ТЕЛЕКОМУНИКАЦИЈЕ (ITU);</w:t>
      </w:r>
    </w:p>
    <w:p w:rsidR="001A3927" w:rsidRDefault="001A3927" w:rsidP="001A3927">
      <w:pPr>
        <w:autoSpaceDE w:val="0"/>
        <w:autoSpaceDN w:val="0"/>
        <w:adjustRightInd w:val="0"/>
        <w:ind w:firstLine="714"/>
        <w:jc w:val="both"/>
        <w:rPr>
          <w:lang w:val="sr-Cyrl-RS"/>
        </w:rPr>
      </w:pPr>
      <w:r>
        <w:rPr>
          <w:lang w:val="sr-Cyrl-RS"/>
        </w:rPr>
        <w:t xml:space="preserve">17) </w:t>
      </w:r>
      <w:r>
        <w:rPr>
          <w:i/>
          <w:lang w:val="sr-Cyrl-RS"/>
        </w:rPr>
        <w:t>ЕВРОПСКЕ ОРГАНИЗАЦИЈЕ ЗА СТАНДАРДИЗАЦИЈУ</w:t>
      </w:r>
      <w:r>
        <w:rPr>
          <w:lang w:val="sr-Cyrl-RS"/>
        </w:rPr>
        <w:t xml:space="preserve"> СУ:</w:t>
      </w:r>
    </w:p>
    <w:p w:rsidR="001A3927" w:rsidRDefault="001A3927" w:rsidP="001A3927">
      <w:pPr>
        <w:autoSpaceDE w:val="0"/>
        <w:autoSpaceDN w:val="0"/>
        <w:adjustRightInd w:val="0"/>
        <w:ind w:left="720"/>
        <w:jc w:val="both"/>
        <w:rPr>
          <w:lang w:val="sr-Cyrl-RS"/>
        </w:rPr>
      </w:pPr>
      <w:r>
        <w:rPr>
          <w:lang w:val="sr-Cyrl-RS"/>
        </w:rPr>
        <w:t>- ЕВРОПСКИ КОМИТЕТ ЗА СТАНДАРДИЗАЦИЈУ (CEN);</w:t>
      </w:r>
    </w:p>
    <w:p w:rsidR="001A3927" w:rsidRDefault="001A3927" w:rsidP="001A3927">
      <w:pPr>
        <w:autoSpaceDE w:val="0"/>
        <w:autoSpaceDN w:val="0"/>
        <w:adjustRightInd w:val="0"/>
        <w:ind w:left="720"/>
        <w:jc w:val="both"/>
        <w:rPr>
          <w:lang w:val="sr-Cyrl-RS"/>
        </w:rPr>
      </w:pPr>
      <w:r>
        <w:rPr>
          <w:lang w:val="sr-Cyrl-RS"/>
        </w:rPr>
        <w:t>- ЕВРОПСКИ КОМИТЕТ ЗА СТАНДАРДИЗАЦИЈУ У ОБЛАСТИ ЕЛЕКТРОТЕХНИКЕ (CENELEC);</w:t>
      </w:r>
    </w:p>
    <w:p w:rsidR="001A3927" w:rsidRDefault="001A3927" w:rsidP="001A3927">
      <w:pPr>
        <w:autoSpaceDE w:val="0"/>
        <w:autoSpaceDN w:val="0"/>
        <w:adjustRightInd w:val="0"/>
        <w:ind w:left="720"/>
        <w:jc w:val="both"/>
        <w:rPr>
          <w:lang w:val="sr-Cyrl-RS"/>
        </w:rPr>
      </w:pPr>
      <w:r>
        <w:rPr>
          <w:lang w:val="sr-Cyrl-RS"/>
        </w:rPr>
        <w:t>- ЕВРОПСКИ ИНСТИТУТ ЗА СТАНДАРДЕ ИЗ ОБЛАСТИ ТЕЛЕКОМУНИКАЦИЈА (ETSI);</w:t>
      </w:r>
    </w:p>
    <w:p w:rsidR="001A3927" w:rsidRDefault="001A3927" w:rsidP="001A3927">
      <w:pPr>
        <w:tabs>
          <w:tab w:val="left" w:pos="1134"/>
        </w:tabs>
        <w:autoSpaceDE w:val="0"/>
        <w:autoSpaceDN w:val="0"/>
        <w:adjustRightInd w:val="0"/>
        <w:ind w:firstLine="720"/>
        <w:jc w:val="both"/>
        <w:rPr>
          <w:lang w:val="sr-Cyrl-RS"/>
        </w:rPr>
      </w:pPr>
      <w:r>
        <w:rPr>
          <w:lang w:val="sr-Cyrl-RS"/>
        </w:rPr>
        <w:lastRenderedPageBreak/>
        <w:t>18)</w:t>
      </w:r>
      <w:r>
        <w:rPr>
          <w:lang w:val="sr-Cyrl-RS"/>
        </w:rPr>
        <w:tab/>
      </w:r>
      <w:r>
        <w:rPr>
          <w:i/>
          <w:lang w:val="sr-Cyrl-RS"/>
        </w:rPr>
        <w:t>НАЦИОНАЛНО ТЕЛО ЗА СТАНДАРДИЗАЦИЈУ</w:t>
      </w:r>
      <w:r>
        <w:rPr>
          <w:lang w:val="sr-Cyrl-RS"/>
        </w:rPr>
        <w:t xml:space="preserve"> ЈЕ ОРГАНИЗАЦИЈА ЗА СТАНДАРДИЗАЦИЈУ КОЈА ЈЕ ПРИЗНАТА ОД СТРАНЕ ДРЖАВЕ, А КОЈЕ МОЖЕ БИТИ ЧЛАН ОДГОВАРАЈУЋЕ МЕЂУНАРОДНЕ ИЛИ ЕВРОПСКЕ ОРГАНИЗАЦИЈЕ ЗА СТАНДАРДИЗАЦИЈУ.</w:t>
      </w:r>
    </w:p>
    <w:p w:rsidR="001A3927" w:rsidRDefault="001A3927" w:rsidP="001A3927">
      <w:pPr>
        <w:tabs>
          <w:tab w:val="left" w:pos="1134"/>
        </w:tabs>
        <w:autoSpaceDE w:val="0"/>
        <w:autoSpaceDN w:val="0"/>
        <w:adjustRightInd w:val="0"/>
        <w:ind w:firstLine="720"/>
        <w:jc w:val="both"/>
        <w:rPr>
          <w:lang w:val="sr-Cyrl-RS"/>
        </w:rPr>
      </w:pPr>
    </w:p>
    <w:p w:rsidR="001A3927" w:rsidRDefault="001A3927" w:rsidP="001A3927">
      <w:pPr>
        <w:tabs>
          <w:tab w:val="left" w:pos="1134"/>
        </w:tabs>
        <w:autoSpaceDE w:val="0"/>
        <w:autoSpaceDN w:val="0"/>
        <w:adjustRightInd w:val="0"/>
        <w:ind w:firstLine="720"/>
        <w:jc w:val="both"/>
        <w:rPr>
          <w:lang w:val="sr-Cyrl-RS"/>
        </w:rPr>
      </w:pPr>
    </w:p>
    <w:p w:rsidR="001A3927" w:rsidRDefault="001A3927" w:rsidP="001A3927">
      <w:pPr>
        <w:tabs>
          <w:tab w:val="left" w:pos="1134"/>
        </w:tabs>
        <w:autoSpaceDE w:val="0"/>
        <w:autoSpaceDN w:val="0"/>
        <w:adjustRightInd w:val="0"/>
        <w:ind w:firstLine="720"/>
        <w:jc w:val="both"/>
        <w:rPr>
          <w:lang w:val="sr-Cyrl-RS"/>
        </w:rPr>
      </w:pPr>
    </w:p>
    <w:p w:rsidR="001A3927" w:rsidRDefault="001A3927" w:rsidP="001A3927">
      <w:pPr>
        <w:pStyle w:val="6naslov"/>
        <w:rPr>
          <w:rFonts w:ascii="Times New Roman" w:hAnsi="Times New Roman" w:cs="Times New Roman"/>
          <w:sz w:val="24"/>
          <w:szCs w:val="24"/>
          <w:lang w:val="sr-Cyrl-RS"/>
        </w:rPr>
      </w:pPr>
      <w:bookmarkStart w:id="5" w:name="SADRZAJ_010"/>
      <w:r>
        <w:rPr>
          <w:rFonts w:ascii="Times New Roman" w:hAnsi="Times New Roman" w:cs="Times New Roman"/>
          <w:sz w:val="24"/>
          <w:szCs w:val="24"/>
          <w:lang w:val="sr-Cyrl-RS"/>
        </w:rPr>
        <w:t>II. НАЦИОНАЛНО ТЕЛО ЗА СТАНДАРДИЗАЦИЈУ</w:t>
      </w:r>
    </w:p>
    <w:p w:rsidR="001A3927" w:rsidRDefault="001A3927" w:rsidP="001A3927">
      <w:pPr>
        <w:pStyle w:val="6naslov"/>
        <w:rPr>
          <w:rFonts w:ascii="Times New Roman" w:hAnsi="Times New Roman" w:cs="Times New Roman"/>
          <w:sz w:val="24"/>
          <w:szCs w:val="24"/>
          <w:lang w:val="sr-Cyrl-RS"/>
        </w:rPr>
      </w:pPr>
    </w:p>
    <w:p w:rsidR="001A3927" w:rsidRDefault="001A3927" w:rsidP="001A3927">
      <w:pPr>
        <w:pStyle w:val="4clan"/>
        <w:rPr>
          <w:rFonts w:ascii="Times New Roman" w:hAnsi="Times New Roman" w:cs="Times New Roman"/>
          <w:sz w:val="24"/>
          <w:szCs w:val="24"/>
          <w:lang w:val="sr-Cyrl-RS"/>
        </w:rPr>
      </w:pPr>
      <w:r>
        <w:rPr>
          <w:rFonts w:ascii="Times New Roman" w:hAnsi="Times New Roman" w:cs="Times New Roman"/>
          <w:sz w:val="24"/>
          <w:szCs w:val="24"/>
          <w:lang w:val="sr-Cyrl-RS"/>
        </w:rPr>
        <w:t>Члан 6.</w:t>
      </w:r>
    </w:p>
    <w:p w:rsidR="001A3927" w:rsidRDefault="001A3927" w:rsidP="001A3927">
      <w:pPr>
        <w:pStyle w:val="1tekst"/>
        <w:rPr>
          <w:rFonts w:ascii="Times New Roman" w:hAnsi="Times New Roman" w:cs="Times New Roman"/>
          <w:strike/>
          <w:sz w:val="24"/>
          <w:szCs w:val="24"/>
          <w:lang w:val="sr-Cyrl-RS"/>
        </w:rPr>
      </w:pPr>
      <w:bookmarkStart w:id="6" w:name="SADRZAJ_011"/>
      <w:r>
        <w:rPr>
          <w:rFonts w:ascii="Times New Roman" w:hAnsi="Times New Roman" w:cs="Times New Roman"/>
          <w:strike/>
          <w:sz w:val="24"/>
          <w:szCs w:val="24"/>
          <w:lang w:val="sr-Cyrl-RS"/>
        </w:rPr>
        <w:t>Ради остваривања циљева из члана 5. овог закона, Влада ће одлуком основати Институт за стандардизацију Србије (у даљем тексту: Институт), као национално тело за стандардизацију у Републици Србији.</w:t>
      </w:r>
    </w:p>
    <w:p w:rsidR="001A3927" w:rsidRDefault="001A3927" w:rsidP="001A3927">
      <w:pPr>
        <w:autoSpaceDE w:val="0"/>
        <w:autoSpaceDN w:val="0"/>
        <w:adjustRightInd w:val="0"/>
        <w:jc w:val="both"/>
        <w:rPr>
          <w:rFonts w:ascii="Times New Roman" w:hAnsi="Times New Roman"/>
          <w:sz w:val="24"/>
          <w:szCs w:val="24"/>
          <w:lang w:val="sr-Cyrl-RS"/>
        </w:rPr>
      </w:pPr>
      <w:r>
        <w:rPr>
          <w:lang w:val="sr-Cyrl-RS"/>
        </w:rPr>
        <w:t xml:space="preserve">            „ИНСТИТУТ ЗА СТАНДАРДИЗАЦИЈУ СРБИЈЕ (У ДАЉЕМ ТЕКСТУ: ИНСТИТУТ) ЈЕ ЈЕДИНО НАЦИОНАЛНО ТЕЛО ЗА СТАНДАРДИЗАЦИЈУ У РЕПУБЛИЦИ СРБИЈИ.”</w:t>
      </w:r>
    </w:p>
    <w:p w:rsidR="001A3927" w:rsidRDefault="001A3927" w:rsidP="001A3927">
      <w:pPr>
        <w:autoSpaceDE w:val="0"/>
        <w:autoSpaceDN w:val="0"/>
        <w:adjustRightInd w:val="0"/>
        <w:jc w:val="both"/>
        <w:rPr>
          <w:lang w:val="sr-Cyrl-RS"/>
        </w:rPr>
      </w:pPr>
      <w:r>
        <w:rPr>
          <w:lang w:val="sr-Cyrl-RS"/>
        </w:rPr>
        <w:t xml:space="preserve">           „ОСНИВАЧ ИНСТИТУТА ЈЕ РЕПУБЛИКА СРБИЈА, ЗА КОЈУ ОСНИВАЧКА ПРАВА ВРШИ ВЛАДА, У СКЛАДУ СА ЗАКОНОМ.</w:t>
      </w:r>
    </w:p>
    <w:p w:rsidR="001A3927" w:rsidRDefault="001A3927" w:rsidP="001A3927">
      <w:pPr>
        <w:autoSpaceDE w:val="0"/>
        <w:autoSpaceDN w:val="0"/>
        <w:adjustRightInd w:val="0"/>
        <w:ind w:firstLine="720"/>
        <w:jc w:val="both"/>
        <w:rPr>
          <w:lang w:val="sr-Cyrl-RS"/>
        </w:rPr>
      </w:pPr>
      <w:r>
        <w:rPr>
          <w:lang w:val="sr-Cyrl-RS"/>
        </w:rPr>
        <w:t xml:space="preserve">  МИНИСТАРСТВО НАДЛЕЖНО ЗА ПОСЛОВЕ СТАНДАРДИЗАЦИЈЕ ИНФОРМИШЕ МЕЂУНАРОДНЕ И ДРУГЕ ОРГАНИЗАЦИЈЕ О НАЦИОНАЛНОМ ТЕЛУ ЗА СТАНДАРДИЗАЦИЈУ У РЕПУБЛИЦИ СРБИЈИ, У СКЛАДУ СА ПРОПИСОМ КОЈИМ СЕ УРЕЂУЈЕ ПОСТУПАК ПРИЈАВЉИВАЊА И НАЧИН ИНФОРМИСАЊА О ТЕХНИЧКИМ ПРОПИСИМА И СТАНДАРДИМА.”</w:t>
      </w:r>
    </w:p>
    <w:p w:rsidR="001A3927" w:rsidRDefault="001A3927" w:rsidP="001A3927">
      <w:pPr>
        <w:pStyle w:val="1tekst"/>
        <w:rPr>
          <w:rFonts w:ascii="Times New Roman" w:hAnsi="Times New Roman" w:cs="Times New Roman"/>
          <w:sz w:val="24"/>
          <w:szCs w:val="24"/>
          <w:lang w:val="sr-Cyrl-RS"/>
        </w:rPr>
      </w:pPr>
      <w:r>
        <w:rPr>
          <w:rFonts w:ascii="Times New Roman" w:hAnsi="Times New Roman" w:cs="Times New Roman"/>
          <w:sz w:val="24"/>
          <w:szCs w:val="24"/>
          <w:lang w:val="sr-Cyrl-RS"/>
        </w:rPr>
        <w:t>Институт је установа која се уписује у судски регистар.</w:t>
      </w:r>
    </w:p>
    <w:p w:rsidR="001A3927" w:rsidRDefault="001A3927" w:rsidP="001A3927">
      <w:pPr>
        <w:pStyle w:val="1tekst"/>
        <w:rPr>
          <w:rFonts w:ascii="Times New Roman" w:hAnsi="Times New Roman" w:cs="Times New Roman"/>
          <w:sz w:val="24"/>
          <w:szCs w:val="24"/>
          <w:lang w:val="sr-Cyrl-RS"/>
        </w:rPr>
      </w:pPr>
      <w:r>
        <w:rPr>
          <w:rFonts w:ascii="Times New Roman" w:hAnsi="Times New Roman" w:cs="Times New Roman"/>
          <w:sz w:val="24"/>
          <w:szCs w:val="24"/>
          <w:lang w:val="sr-Cyrl-RS"/>
        </w:rPr>
        <w:t xml:space="preserve">Средства којима послује Институт су у државној својини. </w:t>
      </w:r>
    </w:p>
    <w:p w:rsidR="001A3927" w:rsidRDefault="001A3927" w:rsidP="001A3927">
      <w:pPr>
        <w:pStyle w:val="1tekst"/>
        <w:rPr>
          <w:rFonts w:ascii="Times New Roman" w:hAnsi="Times New Roman" w:cs="Times New Roman"/>
          <w:sz w:val="24"/>
          <w:szCs w:val="24"/>
          <w:lang w:val="sr-Cyrl-RS"/>
        </w:rPr>
      </w:pPr>
      <w:r>
        <w:rPr>
          <w:rFonts w:ascii="Times New Roman" w:hAnsi="Times New Roman" w:cs="Times New Roman"/>
          <w:sz w:val="24"/>
          <w:szCs w:val="24"/>
          <w:lang w:val="sr-Cyrl-RS"/>
        </w:rPr>
        <w:t xml:space="preserve">На питања оснивања, организације и рада Института, која нису посебно уређена овим законом, примењују се одредбе закона којим се уређују јавне службе. </w:t>
      </w:r>
    </w:p>
    <w:p w:rsidR="001A3927" w:rsidRDefault="001A3927" w:rsidP="001A3927">
      <w:pPr>
        <w:pStyle w:val="1tekst"/>
        <w:rPr>
          <w:rFonts w:ascii="Times New Roman" w:hAnsi="Times New Roman" w:cs="Times New Roman"/>
          <w:sz w:val="24"/>
          <w:szCs w:val="24"/>
          <w:lang w:val="sr-Cyrl-RS"/>
        </w:rPr>
      </w:pPr>
    </w:p>
    <w:p w:rsidR="001A3927" w:rsidRDefault="001A3927" w:rsidP="001A3927">
      <w:pPr>
        <w:pStyle w:val="4clan"/>
        <w:rPr>
          <w:rFonts w:ascii="Times New Roman" w:hAnsi="Times New Roman" w:cs="Times New Roman"/>
          <w:sz w:val="24"/>
          <w:szCs w:val="24"/>
          <w:lang w:val="sr-Cyrl-RS"/>
        </w:rPr>
      </w:pPr>
      <w:r>
        <w:rPr>
          <w:rFonts w:ascii="Times New Roman" w:hAnsi="Times New Roman" w:cs="Times New Roman"/>
          <w:sz w:val="24"/>
          <w:szCs w:val="24"/>
          <w:lang w:val="sr-Cyrl-RS"/>
        </w:rPr>
        <w:t>Члан 7.</w:t>
      </w:r>
    </w:p>
    <w:p w:rsidR="001A3927" w:rsidRDefault="001A3927" w:rsidP="001A3927">
      <w:pPr>
        <w:pStyle w:val="1tekst"/>
        <w:rPr>
          <w:rFonts w:ascii="Times New Roman" w:hAnsi="Times New Roman" w:cs="Times New Roman"/>
          <w:sz w:val="24"/>
          <w:szCs w:val="24"/>
          <w:lang w:val="sr-Cyrl-RS"/>
        </w:rPr>
      </w:pPr>
      <w:bookmarkStart w:id="7" w:name="SADRZAJ_012"/>
      <w:bookmarkEnd w:id="6"/>
      <w:r>
        <w:rPr>
          <w:rFonts w:ascii="Times New Roman" w:hAnsi="Times New Roman" w:cs="Times New Roman"/>
          <w:sz w:val="24"/>
          <w:szCs w:val="24"/>
          <w:lang w:val="sr-Cyrl-RS"/>
        </w:rPr>
        <w:t>Институт обавља следеће послове:</w:t>
      </w:r>
    </w:p>
    <w:p w:rsidR="001A3927" w:rsidRDefault="001A3927" w:rsidP="001A3927">
      <w:pPr>
        <w:pStyle w:val="1tekst"/>
        <w:rPr>
          <w:rFonts w:ascii="Times New Roman" w:hAnsi="Times New Roman" w:cs="Times New Roman"/>
          <w:sz w:val="24"/>
          <w:szCs w:val="24"/>
          <w:lang w:val="sr-Cyrl-RS"/>
        </w:rPr>
      </w:pPr>
      <w:r>
        <w:rPr>
          <w:rFonts w:ascii="Times New Roman" w:hAnsi="Times New Roman" w:cs="Times New Roman"/>
          <w:sz w:val="24"/>
          <w:szCs w:val="24"/>
          <w:lang w:val="sr-Cyrl-RS"/>
        </w:rPr>
        <w:t>1) доноси, објављује, преиспитује и повлачи српске стандарде, у складу са правилима Института;</w:t>
      </w:r>
    </w:p>
    <w:p w:rsidR="001A3927" w:rsidRDefault="001A3927" w:rsidP="001A3927">
      <w:pPr>
        <w:pStyle w:val="1tekst"/>
        <w:rPr>
          <w:rFonts w:ascii="Times New Roman" w:hAnsi="Times New Roman" w:cs="Times New Roman"/>
          <w:sz w:val="24"/>
          <w:szCs w:val="24"/>
          <w:lang w:val="sr-Cyrl-RS"/>
        </w:rPr>
      </w:pPr>
      <w:r>
        <w:rPr>
          <w:rFonts w:ascii="Times New Roman" w:hAnsi="Times New Roman" w:cs="Times New Roman"/>
          <w:sz w:val="24"/>
          <w:szCs w:val="24"/>
          <w:lang w:val="sr-Cyrl-RS"/>
        </w:rPr>
        <w:t>2) даје тумачење српских стандарда, као и тумачење примене српских стандарда, на захтев заинтересоване стране;</w:t>
      </w:r>
    </w:p>
    <w:p w:rsidR="001A3927" w:rsidRDefault="001A3927" w:rsidP="001A3927">
      <w:pPr>
        <w:pStyle w:val="1tekst"/>
        <w:rPr>
          <w:rFonts w:ascii="Times New Roman" w:hAnsi="Times New Roman" w:cs="Times New Roman"/>
          <w:sz w:val="24"/>
          <w:szCs w:val="24"/>
          <w:lang w:val="sr-Cyrl-RS"/>
        </w:rPr>
      </w:pPr>
      <w:r>
        <w:rPr>
          <w:rFonts w:ascii="Times New Roman" w:hAnsi="Times New Roman" w:cs="Times New Roman"/>
          <w:sz w:val="24"/>
          <w:szCs w:val="24"/>
          <w:lang w:val="sr-Cyrl-RS"/>
        </w:rPr>
        <w:t>3) обезбеђује усаглашеност српских стандарда са међународним и европским стандардима;</w:t>
      </w:r>
    </w:p>
    <w:p w:rsidR="001A3927" w:rsidRDefault="001A3927" w:rsidP="001A3927">
      <w:pPr>
        <w:pStyle w:val="1tekst"/>
        <w:rPr>
          <w:rFonts w:ascii="Times New Roman" w:hAnsi="Times New Roman" w:cs="Times New Roman"/>
          <w:sz w:val="24"/>
          <w:szCs w:val="24"/>
          <w:lang w:val="sr-Cyrl-RS"/>
        </w:rPr>
      </w:pPr>
      <w:r>
        <w:rPr>
          <w:rFonts w:ascii="Times New Roman" w:hAnsi="Times New Roman" w:cs="Times New Roman"/>
          <w:sz w:val="24"/>
          <w:szCs w:val="24"/>
          <w:lang w:val="sr-Cyrl-RS"/>
        </w:rPr>
        <w:t>4) води регистар донетих и повучених српских стандарда, у складу са правилима Института;</w:t>
      </w:r>
    </w:p>
    <w:p w:rsidR="001A3927" w:rsidRDefault="001A3927" w:rsidP="001A3927">
      <w:pPr>
        <w:pStyle w:val="1tekst"/>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5) учествује у изради и преиспитивању међународних и европских стандарда, у областима које су од интереса за Републику Србију;</w:t>
      </w:r>
    </w:p>
    <w:p w:rsidR="001A3927" w:rsidRDefault="001A3927" w:rsidP="001A3927">
      <w:pPr>
        <w:pStyle w:val="1tekst"/>
        <w:rPr>
          <w:rFonts w:ascii="Times New Roman" w:hAnsi="Times New Roman" w:cs="Times New Roman"/>
          <w:sz w:val="24"/>
          <w:szCs w:val="24"/>
          <w:lang w:val="sr-Cyrl-RS"/>
        </w:rPr>
      </w:pPr>
      <w:r>
        <w:rPr>
          <w:rFonts w:ascii="Times New Roman" w:hAnsi="Times New Roman" w:cs="Times New Roman"/>
          <w:sz w:val="24"/>
          <w:szCs w:val="24"/>
          <w:lang w:val="sr-Cyrl-RS"/>
        </w:rPr>
        <w:t>6) сарађује са међународним и европским организацијама за стандардизацију и националним телима за стандардизацију држава потписница одговарајућих споразума из области стандардизације;</w:t>
      </w:r>
    </w:p>
    <w:p w:rsidR="001A3927" w:rsidRDefault="001A3927" w:rsidP="001A3927">
      <w:pPr>
        <w:pStyle w:val="1tekst"/>
        <w:rPr>
          <w:rFonts w:ascii="Times New Roman" w:hAnsi="Times New Roman" w:cs="Times New Roman"/>
          <w:sz w:val="24"/>
          <w:szCs w:val="24"/>
          <w:lang w:val="sr-Cyrl-RS"/>
        </w:rPr>
      </w:pPr>
      <w:r>
        <w:rPr>
          <w:rFonts w:ascii="Times New Roman" w:hAnsi="Times New Roman" w:cs="Times New Roman"/>
          <w:sz w:val="24"/>
          <w:szCs w:val="24"/>
          <w:lang w:val="sr-Cyrl-RS"/>
        </w:rPr>
        <w:t>7) извршава задатке у вези са стандардизацијом, у складу са обавезама из потврђених међународних споразума чији је потписник Република Србија;</w:t>
      </w:r>
    </w:p>
    <w:p w:rsidR="001A3927" w:rsidRDefault="001A3927" w:rsidP="001A3927">
      <w:pPr>
        <w:pStyle w:val="1tekst"/>
        <w:rPr>
          <w:rFonts w:ascii="Times New Roman" w:hAnsi="Times New Roman" w:cs="Times New Roman"/>
          <w:sz w:val="24"/>
          <w:szCs w:val="24"/>
          <w:lang w:val="sr-Cyrl-RS"/>
        </w:rPr>
      </w:pPr>
      <w:r>
        <w:rPr>
          <w:rFonts w:ascii="Times New Roman" w:hAnsi="Times New Roman" w:cs="Times New Roman"/>
          <w:sz w:val="24"/>
          <w:szCs w:val="24"/>
          <w:lang w:val="sr-Cyrl-RS"/>
        </w:rPr>
        <w:t>8) обезбеђује доступност јавности донетих и повучених српских стандарда, публикација, као и стандарда и публикација одговарајућих међународних, европских и националних тела за стандардизацију и врши њихову продају;</w:t>
      </w:r>
    </w:p>
    <w:p w:rsidR="001A3927" w:rsidRDefault="001A3927" w:rsidP="001A3927">
      <w:pPr>
        <w:pStyle w:val="1tekst"/>
        <w:rPr>
          <w:rFonts w:ascii="Times New Roman" w:hAnsi="Times New Roman" w:cs="Times New Roman"/>
          <w:sz w:val="24"/>
          <w:szCs w:val="24"/>
          <w:lang w:val="sr-Cyrl-RS"/>
        </w:rPr>
      </w:pPr>
      <w:r>
        <w:rPr>
          <w:rFonts w:ascii="Times New Roman" w:hAnsi="Times New Roman" w:cs="Times New Roman"/>
          <w:sz w:val="24"/>
          <w:szCs w:val="24"/>
          <w:lang w:val="sr-Cyrl-RS"/>
        </w:rPr>
        <w:t>9) доставља обавештење, на захтев органа државне управе, о томе да ли је у области која се уређује техничким прописом донет одговарајући српски стандард или предстоји његово доношење, односно да ли постоји одговарајући међународни или европски стандард;</w:t>
      </w:r>
    </w:p>
    <w:p w:rsidR="001A3927" w:rsidRDefault="001A3927" w:rsidP="001A3927">
      <w:pPr>
        <w:pStyle w:val="1tekst"/>
        <w:rPr>
          <w:rFonts w:ascii="Times New Roman" w:hAnsi="Times New Roman" w:cs="Times New Roman"/>
          <w:sz w:val="24"/>
          <w:szCs w:val="24"/>
          <w:lang w:val="sr-Cyrl-RS"/>
        </w:rPr>
      </w:pPr>
      <w:r>
        <w:rPr>
          <w:rFonts w:ascii="Times New Roman" w:hAnsi="Times New Roman" w:cs="Times New Roman"/>
          <w:sz w:val="24"/>
          <w:szCs w:val="24"/>
          <w:lang w:val="sr-Cyrl-RS"/>
        </w:rPr>
        <w:t>10) делује као информативни центар за стандарде, за информисање и обавештавање о стандардима, у складу са захтевима предвиђеним у одговарајућим међународним споразумима и обавезама које произлазе из чланства у одговарајућим међународним и европским организацијама за стандардизацију;</w:t>
      </w:r>
    </w:p>
    <w:p w:rsidR="001A3927" w:rsidRDefault="001A3927" w:rsidP="001A3927">
      <w:pPr>
        <w:pStyle w:val="1tekst"/>
        <w:rPr>
          <w:rFonts w:ascii="Times New Roman" w:hAnsi="Times New Roman" w:cs="Times New Roman"/>
          <w:sz w:val="24"/>
          <w:szCs w:val="24"/>
          <w:lang w:val="sr-Cyrl-RS"/>
        </w:rPr>
      </w:pPr>
      <w:r>
        <w:rPr>
          <w:rFonts w:ascii="Times New Roman" w:hAnsi="Times New Roman" w:cs="Times New Roman"/>
          <w:sz w:val="24"/>
          <w:szCs w:val="24"/>
          <w:lang w:val="sr-Cyrl-RS"/>
        </w:rPr>
        <w:t>11) представља и заступа интересе стандардизације у Републици Србији у међународним и европским организацијама за стандардизацију;</w:t>
      </w:r>
    </w:p>
    <w:p w:rsidR="001A3927" w:rsidRDefault="001A3927" w:rsidP="001A3927">
      <w:pPr>
        <w:pStyle w:val="1tekst"/>
        <w:rPr>
          <w:rFonts w:ascii="Times New Roman" w:hAnsi="Times New Roman" w:cs="Times New Roman"/>
          <w:sz w:val="24"/>
          <w:szCs w:val="24"/>
          <w:lang w:val="sr-Cyrl-RS"/>
        </w:rPr>
      </w:pPr>
      <w:r>
        <w:rPr>
          <w:rFonts w:ascii="Times New Roman" w:hAnsi="Times New Roman" w:cs="Times New Roman"/>
          <w:sz w:val="24"/>
          <w:szCs w:val="24"/>
          <w:lang w:val="sr-Cyrl-RS"/>
        </w:rPr>
        <w:t xml:space="preserve">12) одобрава употребу националног знака усаглашености са српским стандардима, у складу са правилима Института; </w:t>
      </w:r>
    </w:p>
    <w:p w:rsidR="001A3927" w:rsidRDefault="001A3927" w:rsidP="001A3927">
      <w:pPr>
        <w:pStyle w:val="1tekst"/>
        <w:rPr>
          <w:rFonts w:ascii="Times New Roman" w:hAnsi="Times New Roman" w:cs="Times New Roman"/>
          <w:sz w:val="24"/>
          <w:szCs w:val="24"/>
          <w:lang w:val="sr-Cyrl-RS"/>
        </w:rPr>
      </w:pPr>
      <w:r>
        <w:rPr>
          <w:rFonts w:ascii="Times New Roman" w:hAnsi="Times New Roman" w:cs="Times New Roman"/>
          <w:sz w:val="24"/>
          <w:szCs w:val="24"/>
          <w:lang w:val="sr-Cyrl-RS"/>
        </w:rPr>
        <w:t xml:space="preserve">13) доноси правила на основу којих се доносе, објављују, преиспитују и повлаче српски стандарди; </w:t>
      </w:r>
    </w:p>
    <w:p w:rsidR="001A3927" w:rsidRDefault="001A3927" w:rsidP="001A3927">
      <w:pPr>
        <w:pStyle w:val="1tekst"/>
        <w:rPr>
          <w:rFonts w:ascii="Times New Roman" w:hAnsi="Times New Roman" w:cs="Times New Roman"/>
          <w:sz w:val="24"/>
          <w:szCs w:val="24"/>
          <w:lang w:val="sr-Cyrl-RS"/>
        </w:rPr>
      </w:pPr>
      <w:r>
        <w:rPr>
          <w:rFonts w:ascii="Times New Roman" w:hAnsi="Times New Roman" w:cs="Times New Roman"/>
          <w:sz w:val="24"/>
          <w:szCs w:val="24"/>
          <w:lang w:val="sr-Cyrl-RS"/>
        </w:rPr>
        <w:t>14) поверава заинтересованим странама, у складу са својим правилима, израду предлога српских стандарда у специфичним областима;</w:t>
      </w:r>
    </w:p>
    <w:p w:rsidR="001A3927" w:rsidRDefault="001A3927" w:rsidP="001A3927">
      <w:pPr>
        <w:pStyle w:val="1tekst"/>
        <w:rPr>
          <w:rFonts w:ascii="Times New Roman" w:hAnsi="Times New Roman" w:cs="Times New Roman"/>
          <w:sz w:val="24"/>
          <w:szCs w:val="24"/>
          <w:lang w:val="sr-Cyrl-RS"/>
        </w:rPr>
      </w:pPr>
      <w:r>
        <w:rPr>
          <w:rFonts w:ascii="Times New Roman" w:hAnsi="Times New Roman" w:cs="Times New Roman"/>
          <w:sz w:val="24"/>
          <w:szCs w:val="24"/>
          <w:lang w:val="sr-Cyrl-RS"/>
        </w:rPr>
        <w:t>15) промовише примену српских стандарда;</w:t>
      </w:r>
    </w:p>
    <w:p w:rsidR="001A3927" w:rsidRDefault="001A3927" w:rsidP="001A3927">
      <w:pPr>
        <w:autoSpaceDE w:val="0"/>
        <w:autoSpaceDN w:val="0"/>
        <w:adjustRightInd w:val="0"/>
        <w:jc w:val="both"/>
        <w:rPr>
          <w:rFonts w:ascii="Times New Roman" w:hAnsi="Times New Roman"/>
          <w:sz w:val="24"/>
          <w:szCs w:val="24"/>
          <w:lang w:val="sr-Cyrl-RS"/>
        </w:rPr>
      </w:pPr>
      <w:r>
        <w:rPr>
          <w:lang w:val="sr-Cyrl-RS"/>
        </w:rPr>
        <w:t xml:space="preserve">       „15А) ПРУЖА СТРУЧНУ ПОМОЋ ЗА ПРИМЕНУ ОДНОСНО ИСПУЊАВАЊЕ ЗАХТЕВА СРПСКИХ СТАНДАРДА;</w:t>
      </w:r>
    </w:p>
    <w:p w:rsidR="001A3927" w:rsidRDefault="001A3927" w:rsidP="001A3927">
      <w:pPr>
        <w:autoSpaceDE w:val="0"/>
        <w:autoSpaceDN w:val="0"/>
        <w:adjustRightInd w:val="0"/>
        <w:jc w:val="both"/>
        <w:rPr>
          <w:lang w:val="sr-Cyrl-RS"/>
        </w:rPr>
      </w:pPr>
      <w:r>
        <w:rPr>
          <w:lang w:val="sr-Cyrl-RS"/>
        </w:rPr>
        <w:t xml:space="preserve">        15Б) ПОСЛОВЕ СЕРТИФИКАЦИЈЕ ПРОИЗВОДА, СИСТЕМА МЕНАЏМЕНТА И ОСОБА;”</w:t>
      </w:r>
    </w:p>
    <w:p w:rsidR="001A3927" w:rsidRDefault="001A3927" w:rsidP="001A3927">
      <w:pPr>
        <w:pStyle w:val="1tekst"/>
        <w:rPr>
          <w:rFonts w:ascii="Times New Roman" w:hAnsi="Times New Roman" w:cs="Times New Roman"/>
          <w:sz w:val="24"/>
          <w:szCs w:val="24"/>
          <w:lang w:val="sr-Cyrl-RS"/>
        </w:rPr>
      </w:pPr>
      <w:r>
        <w:rPr>
          <w:rFonts w:ascii="Times New Roman" w:hAnsi="Times New Roman" w:cs="Times New Roman"/>
          <w:sz w:val="24"/>
          <w:szCs w:val="24"/>
          <w:lang w:val="sr-Cyrl-RS"/>
        </w:rPr>
        <w:t>16) обавља и друге послове из области стандардизације, у складу са законом и одлуком о оснивању.</w:t>
      </w:r>
    </w:p>
    <w:p w:rsidR="001A3927" w:rsidRDefault="001A3927" w:rsidP="001A3927">
      <w:pPr>
        <w:tabs>
          <w:tab w:val="left" w:pos="709"/>
        </w:tabs>
        <w:autoSpaceDE w:val="0"/>
        <w:autoSpaceDN w:val="0"/>
        <w:adjustRightInd w:val="0"/>
        <w:rPr>
          <w:rFonts w:ascii="Times New Roman" w:hAnsi="Times New Roman"/>
          <w:sz w:val="24"/>
          <w:szCs w:val="24"/>
          <w:lang w:val="sr-Cyrl-RS"/>
        </w:rPr>
      </w:pPr>
      <w:r>
        <w:rPr>
          <w:lang w:val="sr-Cyrl-RS"/>
        </w:rPr>
        <w:t xml:space="preserve">        Послови које обавља Институт из става 1. </w:t>
      </w:r>
      <w:r>
        <w:rPr>
          <w:strike/>
          <w:lang w:val="sr-Cyrl-RS"/>
        </w:rPr>
        <w:t>тач. 1), 2), 4), 8), 13), 14) и 15)</w:t>
      </w:r>
      <w:r>
        <w:rPr>
          <w:lang w:val="sr-Cyrl-RS"/>
        </w:rPr>
        <w:t xml:space="preserve">  „ТАЧ.1), 2), 4), 8), 13), 14), 15) И 15А)” овог члана односе се и на сродне документе. </w:t>
      </w:r>
    </w:p>
    <w:p w:rsidR="001A3927" w:rsidRDefault="001A3927" w:rsidP="001A3927">
      <w:pPr>
        <w:tabs>
          <w:tab w:val="left" w:pos="709"/>
          <w:tab w:val="left" w:pos="851"/>
        </w:tabs>
        <w:autoSpaceDE w:val="0"/>
        <w:autoSpaceDN w:val="0"/>
        <w:adjustRightInd w:val="0"/>
        <w:jc w:val="both"/>
        <w:rPr>
          <w:lang w:val="sr-Cyrl-RS"/>
        </w:rPr>
      </w:pPr>
      <w:r>
        <w:rPr>
          <w:lang w:val="sr-Cyrl-RS"/>
        </w:rPr>
        <w:t xml:space="preserve">      „ПОСЛОВЕ ИЗ ТАЧ. 15А) И 15Б) ИНСТИТУТ НЕ МОЖЕ ДА ОБАВЉА ЗА ПОТРЕБЕ ИСТОГ ПРАВНОГ СУБЈЕКТА.”</w:t>
      </w:r>
    </w:p>
    <w:p w:rsidR="001A3927" w:rsidRDefault="001A3927" w:rsidP="001A3927">
      <w:pPr>
        <w:pStyle w:val="1tekst"/>
        <w:rPr>
          <w:rFonts w:ascii="Times New Roman" w:hAnsi="Times New Roman" w:cs="Times New Roman"/>
          <w:sz w:val="24"/>
          <w:szCs w:val="24"/>
          <w:lang w:val="sr-Cyrl-RS"/>
        </w:rPr>
      </w:pPr>
      <w:r>
        <w:rPr>
          <w:rFonts w:ascii="Times New Roman" w:hAnsi="Times New Roman" w:cs="Times New Roman"/>
          <w:sz w:val="24"/>
          <w:szCs w:val="24"/>
          <w:lang w:val="sr-Cyrl-RS"/>
        </w:rPr>
        <w:t>Послове из става 1. овог члана Институт не обавља ради стицања добити.</w:t>
      </w:r>
    </w:p>
    <w:p w:rsidR="001A3927" w:rsidRDefault="001A3927" w:rsidP="001A3927">
      <w:pPr>
        <w:pStyle w:val="1tekst"/>
        <w:rPr>
          <w:rFonts w:ascii="Times New Roman" w:hAnsi="Times New Roman" w:cs="Times New Roman"/>
          <w:sz w:val="24"/>
          <w:szCs w:val="24"/>
          <w:lang w:val="sr-Cyrl-RS"/>
        </w:rPr>
      </w:pPr>
      <w:r>
        <w:rPr>
          <w:rFonts w:ascii="Times New Roman" w:hAnsi="Times New Roman" w:cs="Times New Roman"/>
          <w:sz w:val="24"/>
          <w:szCs w:val="24"/>
          <w:lang w:val="sr-Cyrl-RS"/>
        </w:rPr>
        <w:t xml:space="preserve">Начин информисања и обавештавања из става 1. тачка 10) овог члана уређује се прописом који доноси Влада. </w:t>
      </w:r>
    </w:p>
    <w:p w:rsidR="001A3927" w:rsidRDefault="001A3927" w:rsidP="001A3927">
      <w:pPr>
        <w:pStyle w:val="4clan"/>
        <w:rPr>
          <w:rFonts w:ascii="Times New Roman" w:hAnsi="Times New Roman" w:cs="Times New Roman"/>
          <w:sz w:val="24"/>
          <w:szCs w:val="24"/>
          <w:lang w:val="sr-Cyrl-RS"/>
        </w:rPr>
      </w:pPr>
      <w:r>
        <w:rPr>
          <w:rFonts w:ascii="Times New Roman" w:hAnsi="Times New Roman" w:cs="Times New Roman"/>
          <w:sz w:val="24"/>
          <w:szCs w:val="24"/>
          <w:lang w:val="sr-Cyrl-RS"/>
        </w:rPr>
        <w:t>Члан 8.</w:t>
      </w:r>
    </w:p>
    <w:p w:rsidR="001A3927" w:rsidRDefault="001A3927" w:rsidP="001A3927">
      <w:pPr>
        <w:pStyle w:val="1tekst"/>
        <w:rPr>
          <w:rFonts w:ascii="Times New Roman" w:hAnsi="Times New Roman" w:cs="Times New Roman"/>
          <w:sz w:val="24"/>
          <w:szCs w:val="24"/>
          <w:lang w:val="sr-Cyrl-RS"/>
        </w:rPr>
      </w:pPr>
      <w:bookmarkStart w:id="8" w:name="SADRZAJ_013"/>
      <w:bookmarkEnd w:id="7"/>
      <w:r>
        <w:rPr>
          <w:rFonts w:ascii="Times New Roman" w:hAnsi="Times New Roman" w:cs="Times New Roman"/>
          <w:sz w:val="24"/>
          <w:szCs w:val="24"/>
          <w:lang w:val="sr-Cyrl-RS"/>
        </w:rPr>
        <w:lastRenderedPageBreak/>
        <w:t xml:space="preserve">Чланови Института могу бити привредна друштва, друга правна лица или предузетници, који су основани по прописима Републике Србије, као и физичка лица која су држављани Републике Србије. </w:t>
      </w:r>
    </w:p>
    <w:p w:rsidR="001A3927" w:rsidRDefault="001A3927" w:rsidP="001A3927">
      <w:pPr>
        <w:pStyle w:val="1tekst"/>
        <w:rPr>
          <w:rFonts w:ascii="Times New Roman" w:hAnsi="Times New Roman" w:cs="Times New Roman"/>
          <w:sz w:val="24"/>
          <w:szCs w:val="24"/>
          <w:lang w:val="sr-Cyrl-RS"/>
        </w:rPr>
      </w:pPr>
      <w:r>
        <w:rPr>
          <w:rFonts w:ascii="Times New Roman" w:hAnsi="Times New Roman" w:cs="Times New Roman"/>
          <w:sz w:val="24"/>
          <w:szCs w:val="24"/>
          <w:lang w:val="sr-Cyrl-RS"/>
        </w:rPr>
        <w:t>Чланство у Институту је добровољно.</w:t>
      </w:r>
    </w:p>
    <w:p w:rsidR="001A3927" w:rsidRDefault="001A3927" w:rsidP="001A3927">
      <w:pPr>
        <w:pStyle w:val="1tekst"/>
        <w:rPr>
          <w:rFonts w:ascii="Times New Roman" w:hAnsi="Times New Roman" w:cs="Times New Roman"/>
          <w:sz w:val="24"/>
          <w:szCs w:val="24"/>
          <w:lang w:val="sr-Cyrl-RS"/>
        </w:rPr>
      </w:pPr>
      <w:r>
        <w:rPr>
          <w:rFonts w:ascii="Times New Roman" w:hAnsi="Times New Roman" w:cs="Times New Roman"/>
          <w:sz w:val="24"/>
          <w:szCs w:val="24"/>
          <w:lang w:val="sr-Cyrl-RS"/>
        </w:rPr>
        <w:t>Члан Института има право да учествује у раду органа Института и управљању Институтом у складу са овим законом, одлуком о оснивању и статутом Института.</w:t>
      </w:r>
    </w:p>
    <w:p w:rsidR="001A3927" w:rsidRDefault="001A3927" w:rsidP="001A3927">
      <w:pPr>
        <w:pStyle w:val="1tekst"/>
        <w:rPr>
          <w:rFonts w:ascii="Times New Roman" w:hAnsi="Times New Roman" w:cs="Times New Roman"/>
          <w:strike/>
          <w:sz w:val="24"/>
          <w:szCs w:val="24"/>
          <w:lang w:val="sr-Cyrl-RS"/>
        </w:rPr>
      </w:pPr>
      <w:r>
        <w:rPr>
          <w:rFonts w:ascii="Times New Roman" w:hAnsi="Times New Roman" w:cs="Times New Roman"/>
          <w:strike/>
          <w:sz w:val="24"/>
          <w:szCs w:val="24"/>
          <w:lang w:val="sr-Cyrl-RS"/>
        </w:rPr>
        <w:t>Члан Института има право на посебан попуст код: куповине стандарда, сродних докумената и других публикација; плаћања накнаде за друге услуге које врши Институт у обављању послова стандардизације; плаћања накнаде за учешће на семинарима, конференцијама, саветовањима и другим стручним скуповима које Институт организује самостално или у сарадњи са другим правним лицима и организацијама, као и на друге погодности у складу са одлуком о оснивању и статутом Института.</w:t>
      </w:r>
    </w:p>
    <w:p w:rsidR="001A3927" w:rsidRDefault="001A3927" w:rsidP="001A3927">
      <w:pPr>
        <w:tabs>
          <w:tab w:val="left" w:pos="709"/>
        </w:tabs>
        <w:autoSpaceDE w:val="0"/>
        <w:autoSpaceDN w:val="0"/>
        <w:adjustRightInd w:val="0"/>
        <w:jc w:val="both"/>
        <w:rPr>
          <w:rFonts w:ascii="Times New Roman" w:hAnsi="Times New Roman"/>
          <w:sz w:val="24"/>
          <w:szCs w:val="24"/>
          <w:lang w:val="sr-Cyrl-RS"/>
        </w:rPr>
      </w:pPr>
      <w:r>
        <w:rPr>
          <w:lang w:val="sr-Cyrl-RS"/>
        </w:rPr>
        <w:t xml:space="preserve">        „ЧЛАН ИНСТИТУТА ИМА ПРАВО НА ПОСЕБАН ПОПУСТ КОД КУПОВИНЕ СТАНДАРДА, СРОДНИХ ДОКУМЕНАТА И ДРУГИХ ПУБЛИКАЦИЈА И ПЛАЋАЊА ЗА УСЛУГЕ КОЈЕ ИНСТИТУТ ПРУЖА У ОБАВЉАЊУ ПОСЛОВА СТАНДАРДИЗАЦИЈЕ, КАО И НА ДРУГЕ ПОГОДНОСТИ У СКЛАДУ СА ОДЛУКОМ О ОСНИВАЊУ”. </w:t>
      </w:r>
    </w:p>
    <w:p w:rsidR="001A3927" w:rsidRDefault="001A3927" w:rsidP="001A3927">
      <w:pPr>
        <w:pStyle w:val="1tekst"/>
        <w:rPr>
          <w:rFonts w:ascii="Times New Roman" w:hAnsi="Times New Roman" w:cs="Times New Roman"/>
          <w:b/>
          <w:strike/>
          <w:sz w:val="24"/>
          <w:szCs w:val="24"/>
          <w:lang w:val="sr-Cyrl-RS"/>
        </w:rPr>
      </w:pPr>
    </w:p>
    <w:p w:rsidR="001A3927" w:rsidRDefault="001A3927" w:rsidP="001A3927">
      <w:pPr>
        <w:pStyle w:val="1tekst"/>
        <w:rPr>
          <w:rFonts w:ascii="Times New Roman" w:hAnsi="Times New Roman" w:cs="Times New Roman"/>
          <w:sz w:val="24"/>
          <w:szCs w:val="24"/>
          <w:lang w:val="sr-Cyrl-RS"/>
        </w:rPr>
      </w:pPr>
      <w:r>
        <w:rPr>
          <w:rFonts w:ascii="Times New Roman" w:hAnsi="Times New Roman" w:cs="Times New Roman"/>
          <w:sz w:val="24"/>
          <w:szCs w:val="24"/>
          <w:lang w:val="sr-Cyrl-RS"/>
        </w:rPr>
        <w:t>Члан Института има обавезу да плаћа чланарину, учествује у остваривању циљева, програма и планова Института, промовише примену српских стандарда и сродних докумената, у складу са одлуком о оснивању и статутом Института.</w:t>
      </w:r>
    </w:p>
    <w:p w:rsidR="001A3927" w:rsidRDefault="001A3927" w:rsidP="001A3927">
      <w:pPr>
        <w:pStyle w:val="1tekst"/>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Права и обавезе члана Института, начин стицања и престанка статуса члана Института, критеријуми за утврђивање висине чланарине, као и критеријуми за утврђивање посебног попуста из става 4. овог члана, ближе се уређују одлуком о оснивању и статутом Института. </w:t>
      </w:r>
    </w:p>
    <w:p w:rsidR="001A3927" w:rsidRDefault="001A3927" w:rsidP="001A3927">
      <w:pPr>
        <w:pStyle w:val="1tekst"/>
        <w:rPr>
          <w:rFonts w:ascii="Times New Roman" w:hAnsi="Times New Roman" w:cs="Times New Roman"/>
          <w:sz w:val="24"/>
          <w:szCs w:val="24"/>
          <w:lang w:val="sr-Cyrl-RS"/>
        </w:rPr>
      </w:pPr>
    </w:p>
    <w:bookmarkEnd w:id="8"/>
    <w:p w:rsidR="001A3927" w:rsidRDefault="001A3927" w:rsidP="001A3927">
      <w:pPr>
        <w:jc w:val="center"/>
        <w:rPr>
          <w:rFonts w:ascii="Times New Roman" w:hAnsi="Times New Roman"/>
          <w:b/>
          <w:bCs/>
          <w:sz w:val="24"/>
          <w:szCs w:val="24"/>
          <w:lang w:val="sr-Cyrl-RS"/>
        </w:rPr>
      </w:pPr>
      <w:r>
        <w:rPr>
          <w:b/>
          <w:bCs/>
          <w:lang w:val="sr-Cyrl-RS"/>
        </w:rPr>
        <w:t>Члан 9.</w:t>
      </w:r>
    </w:p>
    <w:p w:rsidR="001A3927" w:rsidRDefault="001A3927" w:rsidP="001A3927">
      <w:pPr>
        <w:jc w:val="center"/>
        <w:rPr>
          <w:b/>
          <w:bCs/>
          <w:lang w:val="sr-Cyrl-RS"/>
        </w:rPr>
      </w:pPr>
    </w:p>
    <w:p w:rsidR="001A3927" w:rsidRDefault="001A3927" w:rsidP="001A3927">
      <w:pPr>
        <w:tabs>
          <w:tab w:val="left" w:pos="851"/>
        </w:tabs>
        <w:autoSpaceDE w:val="0"/>
        <w:autoSpaceDN w:val="0"/>
        <w:adjustRightInd w:val="0"/>
        <w:jc w:val="both"/>
        <w:rPr>
          <w:lang w:val="sr-Cyrl-RS"/>
        </w:rPr>
      </w:pPr>
      <w:r>
        <w:rPr>
          <w:lang w:val="sr-Cyrl-RS"/>
        </w:rPr>
        <w:t xml:space="preserve">Средства за рад </w:t>
      </w:r>
      <w:r>
        <w:rPr>
          <w:strike/>
          <w:lang w:val="sr-Cyrl-RS"/>
        </w:rPr>
        <w:t xml:space="preserve">Института обезбеђују се:  </w:t>
      </w:r>
      <w:r>
        <w:rPr>
          <w:lang w:val="sr-Cyrl-RS"/>
        </w:rPr>
        <w:t>„ИНСТИТУТ ОБЕЗБЕЂУЈЕ”:</w:t>
      </w:r>
    </w:p>
    <w:p w:rsidR="001A3927" w:rsidRDefault="001A3927" w:rsidP="001A3927">
      <w:pPr>
        <w:pStyle w:val="1tekst"/>
        <w:rPr>
          <w:rFonts w:ascii="Times New Roman" w:hAnsi="Times New Roman" w:cs="Times New Roman"/>
          <w:strike/>
          <w:sz w:val="24"/>
          <w:szCs w:val="24"/>
          <w:lang w:val="sr-Cyrl-RS"/>
        </w:rPr>
      </w:pPr>
    </w:p>
    <w:p w:rsidR="001A3927" w:rsidRDefault="001A3927" w:rsidP="001A3927">
      <w:pPr>
        <w:autoSpaceDE w:val="0"/>
        <w:autoSpaceDN w:val="0"/>
        <w:adjustRightInd w:val="0"/>
        <w:rPr>
          <w:rFonts w:ascii="Times New Roman" w:hAnsi="Times New Roman"/>
          <w:sz w:val="24"/>
          <w:szCs w:val="24"/>
          <w:lang w:val="sr-Cyrl-RS"/>
        </w:rPr>
      </w:pPr>
      <w:r>
        <w:rPr>
          <w:strike/>
          <w:lang w:val="sr-Cyrl-RS"/>
        </w:rPr>
        <w:t xml:space="preserve">        1) наплатом чланарине;</w:t>
      </w:r>
      <w:r>
        <w:rPr>
          <w:lang w:val="sr-Cyrl-RS"/>
        </w:rPr>
        <w:t xml:space="preserve"> „1) ИЗ ПРИХОДА КОЈЕ ОСТВАРИ НАПЛАТОМ ЧЛАНАРИНА;”</w:t>
      </w:r>
    </w:p>
    <w:p w:rsidR="001A3927" w:rsidRDefault="001A3927" w:rsidP="001A3927">
      <w:pPr>
        <w:pStyle w:val="1tekst"/>
        <w:rPr>
          <w:rFonts w:ascii="Times New Roman" w:hAnsi="Times New Roman" w:cs="Times New Roman"/>
          <w:sz w:val="24"/>
          <w:szCs w:val="24"/>
          <w:lang w:val="sr-Cyrl-RS"/>
        </w:rPr>
      </w:pPr>
      <w:r>
        <w:rPr>
          <w:rFonts w:ascii="Times New Roman" w:hAnsi="Times New Roman" w:cs="Times New Roman"/>
          <w:sz w:val="24"/>
          <w:szCs w:val="24"/>
          <w:lang w:val="sr-Cyrl-RS"/>
        </w:rPr>
        <w:t>2) продајом српских стандарда, сродних докумената и других публикација;</w:t>
      </w:r>
    </w:p>
    <w:p w:rsidR="001A3927" w:rsidRDefault="001A3927" w:rsidP="001A3927">
      <w:pPr>
        <w:autoSpaceDE w:val="0"/>
        <w:autoSpaceDN w:val="0"/>
        <w:adjustRightInd w:val="0"/>
        <w:rPr>
          <w:rFonts w:ascii="Times New Roman" w:hAnsi="Times New Roman"/>
          <w:sz w:val="24"/>
          <w:szCs w:val="24"/>
          <w:lang w:val="sr-Cyrl-RS"/>
        </w:rPr>
      </w:pPr>
      <w:r>
        <w:rPr>
          <w:strike/>
          <w:lang w:val="sr-Cyrl-RS"/>
        </w:rPr>
        <w:t xml:space="preserve">        3) наплатом услуга; </w:t>
      </w:r>
      <w:r>
        <w:rPr>
          <w:lang w:val="sr-Cyrl-RS"/>
        </w:rPr>
        <w:t>„3) ИЗ ПРИХОДА КОЈЕ ОСТВАРИ ПРОДАЈОМ УСЛУГА;</w:t>
      </w:r>
    </w:p>
    <w:p w:rsidR="001A3927" w:rsidRDefault="001A3927" w:rsidP="001A3927">
      <w:pPr>
        <w:pStyle w:val="1tekst"/>
        <w:rPr>
          <w:rFonts w:ascii="Times New Roman" w:hAnsi="Times New Roman" w:cs="Times New Roman"/>
          <w:sz w:val="24"/>
          <w:szCs w:val="24"/>
          <w:lang w:val="sr-Cyrl-RS"/>
        </w:rPr>
      </w:pPr>
      <w:r>
        <w:rPr>
          <w:rFonts w:ascii="Times New Roman" w:hAnsi="Times New Roman" w:cs="Times New Roman"/>
          <w:sz w:val="24"/>
          <w:szCs w:val="24"/>
          <w:lang w:val="sr-Cyrl-RS"/>
        </w:rPr>
        <w:t xml:space="preserve">4) из буџета Републике Србије; </w:t>
      </w:r>
    </w:p>
    <w:p w:rsidR="001A3927" w:rsidRDefault="001A3927" w:rsidP="001A3927">
      <w:pPr>
        <w:pStyle w:val="1tekst"/>
        <w:rPr>
          <w:rFonts w:ascii="Times New Roman" w:hAnsi="Times New Roman" w:cs="Times New Roman"/>
          <w:sz w:val="24"/>
          <w:szCs w:val="24"/>
          <w:lang w:val="sr-Cyrl-RS"/>
        </w:rPr>
      </w:pPr>
      <w:r>
        <w:rPr>
          <w:rFonts w:ascii="Times New Roman" w:hAnsi="Times New Roman" w:cs="Times New Roman"/>
          <w:sz w:val="24"/>
          <w:szCs w:val="24"/>
          <w:lang w:val="sr-Cyrl-RS"/>
        </w:rPr>
        <w:t>5) из других извора, у складу са законом.</w:t>
      </w:r>
    </w:p>
    <w:p w:rsidR="001A3927" w:rsidRDefault="001A3927" w:rsidP="001A3927">
      <w:pPr>
        <w:autoSpaceDE w:val="0"/>
        <w:autoSpaceDN w:val="0"/>
        <w:adjustRightInd w:val="0"/>
        <w:jc w:val="both"/>
        <w:rPr>
          <w:rFonts w:ascii="Times New Roman" w:hAnsi="Times New Roman"/>
          <w:sz w:val="24"/>
          <w:szCs w:val="24"/>
          <w:lang w:val="sr-Cyrl-RS"/>
        </w:rPr>
      </w:pPr>
      <w:r>
        <w:rPr>
          <w:strike/>
          <w:lang w:val="sr-Cyrl-RS"/>
        </w:rPr>
        <w:t xml:space="preserve">         Потребна средства за рад утврђују се годишњим програмом рада Института, у складу са одлуком о оснивању.</w:t>
      </w:r>
      <w:r>
        <w:rPr>
          <w:lang w:val="sr-Cyrl-RS"/>
        </w:rPr>
        <w:t xml:space="preserve"> </w:t>
      </w:r>
    </w:p>
    <w:p w:rsidR="001A3927" w:rsidRDefault="001A3927" w:rsidP="001A3927">
      <w:pPr>
        <w:autoSpaceDE w:val="0"/>
        <w:autoSpaceDN w:val="0"/>
        <w:adjustRightInd w:val="0"/>
        <w:jc w:val="both"/>
        <w:rPr>
          <w:lang w:val="sr-Cyrl-RS"/>
        </w:rPr>
      </w:pPr>
      <w:r>
        <w:rPr>
          <w:lang w:val="sr-Cyrl-RS"/>
        </w:rPr>
        <w:t xml:space="preserve">      „ПОТРЕБНА СРЕДСТВА ЗА РАД ИНСТИТУТА, УТВРЂУЈУ СЕ ГОДИШЊИМ ПРОГРАМОМ РАДА ЧИЈИ ЈЕ САСТАВНИ ДЕО ФИНАНСИЈСКИ ПЛАН”.</w:t>
      </w:r>
    </w:p>
    <w:p w:rsidR="001A3927" w:rsidRDefault="001A3927" w:rsidP="001A3927">
      <w:pPr>
        <w:tabs>
          <w:tab w:val="left" w:pos="426"/>
        </w:tabs>
        <w:autoSpaceDE w:val="0"/>
        <w:autoSpaceDN w:val="0"/>
        <w:adjustRightInd w:val="0"/>
        <w:jc w:val="both"/>
        <w:rPr>
          <w:lang w:val="sr-Cyrl-RS"/>
        </w:rPr>
      </w:pPr>
      <w:r>
        <w:rPr>
          <w:lang w:val="sr-Cyrl-RS"/>
        </w:rPr>
        <w:lastRenderedPageBreak/>
        <w:t xml:space="preserve">      „СРЕДСТВА ОСТВАРЕНА ОД ПРИХОДА ИЗ СТАВА 1. ТАЧКА 3) ОВОГ ЧЛАНА ПРИПАДАЈУ БУЏЕТУ РЕПУБЛИКЕ СРБИЈЕ И КОРИСТЕ СЕ У СКЛАДУ СА ЗАКОНОМ КОЈИМ СЕ УРЕЂУЈЕ БУЏЕТСКИ СИСТЕМ”.</w:t>
      </w:r>
    </w:p>
    <w:p w:rsidR="001A3927" w:rsidRDefault="001A3927" w:rsidP="001A3927">
      <w:pPr>
        <w:autoSpaceDE w:val="0"/>
        <w:autoSpaceDN w:val="0"/>
        <w:adjustRightInd w:val="0"/>
        <w:jc w:val="both"/>
        <w:rPr>
          <w:lang w:val="sr-Cyrl-RS"/>
        </w:rPr>
      </w:pPr>
      <w:r>
        <w:rPr>
          <w:lang w:val="sr-Cyrl-RS"/>
        </w:rPr>
        <w:t xml:space="preserve">         „САДРЖИНА ГОДИШЊЕГ ПРОГРАМА РАДА БЛИЖЕ СЕ УРЕЂУЈЕ ОДЛУКОМ О ОСНИВАЊУ“.</w:t>
      </w:r>
    </w:p>
    <w:p w:rsidR="001A3927" w:rsidRDefault="001A3927" w:rsidP="001A3927">
      <w:pPr>
        <w:autoSpaceDE w:val="0"/>
        <w:autoSpaceDN w:val="0"/>
        <w:adjustRightInd w:val="0"/>
        <w:jc w:val="both"/>
        <w:rPr>
          <w:lang w:val="sr-Cyrl-RS"/>
        </w:rPr>
      </w:pPr>
      <w:r>
        <w:rPr>
          <w:lang w:val="sr-Cyrl-RS"/>
        </w:rPr>
        <w:t xml:space="preserve">       Средства за чланарине Института у европским и међународним организацијама за стандардизацију, која се утврђују годишњим програмом рада Института, обезбеђују се из буџета Републике Србије. </w:t>
      </w:r>
    </w:p>
    <w:p w:rsidR="001A3927" w:rsidRDefault="001A3927" w:rsidP="001A3927">
      <w:pPr>
        <w:autoSpaceDE w:val="0"/>
        <w:autoSpaceDN w:val="0"/>
        <w:adjustRightInd w:val="0"/>
        <w:jc w:val="center"/>
        <w:rPr>
          <w:b/>
          <w:lang w:val="sr-Cyrl-RS"/>
        </w:rPr>
      </w:pPr>
      <w:bookmarkStart w:id="9" w:name="SADRZAJ_017"/>
      <w:bookmarkEnd w:id="5"/>
      <w:r>
        <w:rPr>
          <w:strike/>
          <w:lang w:val="sr-Cyrl-RS"/>
        </w:rPr>
        <w:t>III. ДОНОШЕЊЕ И ОБЈАВЉИВАЊЕ СРПСКИХ СТАНДАРДА</w:t>
      </w:r>
      <w:r>
        <w:rPr>
          <w:b/>
          <w:lang w:val="sr-Cyrl-RS"/>
        </w:rPr>
        <w:t xml:space="preserve"> </w:t>
      </w:r>
    </w:p>
    <w:p w:rsidR="001A3927" w:rsidRDefault="001A3927" w:rsidP="001A3927">
      <w:pPr>
        <w:autoSpaceDE w:val="0"/>
        <w:autoSpaceDN w:val="0"/>
        <w:adjustRightInd w:val="0"/>
        <w:jc w:val="center"/>
        <w:rPr>
          <w:b/>
          <w:lang w:val="sr-Cyrl-RS"/>
        </w:rPr>
      </w:pPr>
      <w:r>
        <w:rPr>
          <w:b/>
          <w:lang w:val="sr-Cyrl-RS"/>
        </w:rPr>
        <w:t>III</w:t>
      </w:r>
      <w:r>
        <w:rPr>
          <w:b/>
        </w:rPr>
        <w:t>.</w:t>
      </w:r>
      <w:r>
        <w:rPr>
          <w:b/>
          <w:lang w:val="sr-Cyrl-RS"/>
        </w:rPr>
        <w:t xml:space="preserve"> ДОНОШЕЊЕ, ОБЈАВЉИВАЊЕ, ПОВЛАЧЕЊЕ И ОЗНАЧАВАЊЕ </w:t>
      </w:r>
    </w:p>
    <w:p w:rsidR="001A3927" w:rsidRDefault="001A3927" w:rsidP="001A3927">
      <w:pPr>
        <w:autoSpaceDE w:val="0"/>
        <w:autoSpaceDN w:val="0"/>
        <w:adjustRightInd w:val="0"/>
        <w:jc w:val="center"/>
        <w:rPr>
          <w:b/>
          <w:lang w:val="sr-Cyrl-RS"/>
        </w:rPr>
      </w:pPr>
      <w:r>
        <w:rPr>
          <w:b/>
          <w:lang w:val="sr-Cyrl-RS"/>
        </w:rPr>
        <w:t>СРПСКИХ СТАНДАРДА</w:t>
      </w:r>
    </w:p>
    <w:p w:rsidR="001A3927" w:rsidRDefault="001A3927" w:rsidP="001A3927">
      <w:pPr>
        <w:pStyle w:val="6naslov"/>
        <w:rPr>
          <w:rFonts w:ascii="Times New Roman" w:hAnsi="Times New Roman" w:cs="Times New Roman"/>
          <w:strike/>
          <w:sz w:val="24"/>
          <w:szCs w:val="24"/>
          <w:lang w:val="sr-Cyrl-RS"/>
        </w:rPr>
      </w:pPr>
    </w:p>
    <w:p w:rsidR="001A3927" w:rsidRDefault="001A3927" w:rsidP="001A3927">
      <w:pPr>
        <w:pStyle w:val="6naslov"/>
        <w:rPr>
          <w:rFonts w:ascii="Times New Roman" w:hAnsi="Times New Roman" w:cs="Times New Roman"/>
          <w:sz w:val="24"/>
          <w:szCs w:val="24"/>
          <w:lang w:val="sr-Cyrl-RS"/>
        </w:rPr>
      </w:pPr>
    </w:p>
    <w:p w:rsidR="001A3927" w:rsidRDefault="001A3927" w:rsidP="001A3927">
      <w:pPr>
        <w:pStyle w:val="4clan"/>
        <w:rPr>
          <w:rFonts w:ascii="Times New Roman" w:hAnsi="Times New Roman" w:cs="Times New Roman"/>
          <w:strike/>
          <w:sz w:val="24"/>
          <w:szCs w:val="24"/>
          <w:lang w:val="sr-Cyrl-RS"/>
        </w:rPr>
      </w:pPr>
      <w:r>
        <w:rPr>
          <w:rFonts w:ascii="Times New Roman" w:hAnsi="Times New Roman" w:cs="Times New Roman"/>
          <w:strike/>
          <w:sz w:val="24"/>
          <w:szCs w:val="24"/>
          <w:lang w:val="sr-Cyrl-RS"/>
        </w:rPr>
        <w:t>Члан 12.</w:t>
      </w:r>
    </w:p>
    <w:p w:rsidR="001A3927" w:rsidRDefault="001A3927" w:rsidP="001A3927">
      <w:pPr>
        <w:pStyle w:val="1tekst"/>
        <w:rPr>
          <w:rFonts w:ascii="Times New Roman" w:hAnsi="Times New Roman" w:cs="Times New Roman"/>
          <w:strike/>
          <w:sz w:val="24"/>
          <w:szCs w:val="24"/>
          <w:lang w:val="sr-Cyrl-RS"/>
        </w:rPr>
      </w:pPr>
      <w:bookmarkStart w:id="10" w:name="SADRZAJ_018"/>
      <w:r>
        <w:rPr>
          <w:rFonts w:ascii="Times New Roman" w:hAnsi="Times New Roman" w:cs="Times New Roman"/>
          <w:strike/>
          <w:sz w:val="24"/>
          <w:szCs w:val="24"/>
          <w:lang w:val="sr-Cyrl-RS"/>
        </w:rPr>
        <w:t>Српски стандарди доносе се и објављују у складу са овим законом и правилима Института која су усклађена са правилима међународних и европских организација за стандардизацију и Кодексом добре праксе за израду, доношење и примену стандарда из Споразума о техничким препрекама трговини Светске трговинске организације.</w:t>
      </w:r>
    </w:p>
    <w:p w:rsidR="001A3927" w:rsidRDefault="001A3927" w:rsidP="001A3927">
      <w:pPr>
        <w:pStyle w:val="1tekst"/>
        <w:rPr>
          <w:rFonts w:ascii="Times New Roman" w:hAnsi="Times New Roman" w:cs="Times New Roman"/>
          <w:strike/>
          <w:sz w:val="24"/>
          <w:szCs w:val="24"/>
          <w:lang w:val="sr-Cyrl-RS"/>
        </w:rPr>
      </w:pPr>
      <w:r>
        <w:rPr>
          <w:rFonts w:ascii="Times New Roman" w:hAnsi="Times New Roman" w:cs="Times New Roman"/>
          <w:strike/>
          <w:sz w:val="24"/>
          <w:szCs w:val="24"/>
          <w:lang w:val="sr-Cyrl-RS"/>
        </w:rPr>
        <w:t>Као основа за доношење српских стандарда користе се, по правилу, међународни стандарди и сродни документи. У случају да у одређеној области не постоји међународни стандард или је важећи међународни стандард неодговарајући, као основа се могу користити европски или национални стандарди и сродни документи других држава.</w:t>
      </w:r>
    </w:p>
    <w:p w:rsidR="001A3927" w:rsidRDefault="001A3927" w:rsidP="001A3927">
      <w:pPr>
        <w:pStyle w:val="1tekst"/>
        <w:rPr>
          <w:rFonts w:ascii="Times New Roman" w:hAnsi="Times New Roman" w:cs="Times New Roman"/>
          <w:strike/>
          <w:sz w:val="24"/>
          <w:szCs w:val="24"/>
          <w:lang w:val="sr-Cyrl-RS"/>
        </w:rPr>
      </w:pPr>
      <w:r>
        <w:rPr>
          <w:rFonts w:ascii="Times New Roman" w:hAnsi="Times New Roman" w:cs="Times New Roman"/>
          <w:strike/>
          <w:sz w:val="24"/>
          <w:szCs w:val="24"/>
          <w:lang w:val="sr-Cyrl-RS"/>
        </w:rPr>
        <w:t xml:space="preserve">Институт у свом гласилу објављује обавештење о покретању поступка за доношење српског стандарда, а када је то неопходно и за сродни документ, као и обавештење о стављању стандарда, односно сродног документа на јавну расправу. </w:t>
      </w:r>
    </w:p>
    <w:p w:rsidR="001A3927" w:rsidRDefault="001A3927" w:rsidP="001A3927">
      <w:pPr>
        <w:tabs>
          <w:tab w:val="left" w:pos="851"/>
        </w:tabs>
        <w:autoSpaceDE w:val="0"/>
        <w:autoSpaceDN w:val="0"/>
        <w:adjustRightInd w:val="0"/>
        <w:jc w:val="center"/>
        <w:rPr>
          <w:rFonts w:ascii="Times New Roman" w:hAnsi="Times New Roman"/>
          <w:sz w:val="24"/>
          <w:szCs w:val="24"/>
          <w:lang w:val="sr-Cyrl-RS"/>
        </w:rPr>
      </w:pPr>
      <w:r>
        <w:rPr>
          <w:lang w:val="sr-Cyrl-RS"/>
        </w:rPr>
        <w:t>„ЧЛАН 12.</w:t>
      </w:r>
    </w:p>
    <w:p w:rsidR="001A3927" w:rsidRDefault="001A3927" w:rsidP="001A3927">
      <w:pPr>
        <w:tabs>
          <w:tab w:val="left" w:pos="851"/>
        </w:tabs>
        <w:autoSpaceDE w:val="0"/>
        <w:autoSpaceDN w:val="0"/>
        <w:adjustRightInd w:val="0"/>
        <w:jc w:val="center"/>
        <w:rPr>
          <w:lang w:val="sr-Cyrl-RS"/>
        </w:rPr>
      </w:pPr>
    </w:p>
    <w:p w:rsidR="001A3927" w:rsidRDefault="001A3927" w:rsidP="001A3927">
      <w:pPr>
        <w:tabs>
          <w:tab w:val="left" w:pos="709"/>
          <w:tab w:val="left" w:pos="851"/>
        </w:tabs>
        <w:autoSpaceDE w:val="0"/>
        <w:autoSpaceDN w:val="0"/>
        <w:adjustRightInd w:val="0"/>
        <w:jc w:val="both"/>
        <w:rPr>
          <w:lang w:val="sr-Cyrl-RS"/>
        </w:rPr>
      </w:pPr>
      <w:r>
        <w:rPr>
          <w:lang w:val="sr-Cyrl-RS"/>
        </w:rPr>
        <w:t xml:space="preserve">             СРПСКИ СТАНДАРДИ СЕ ДОНОСЕ, ПОВЛАЧЕ И ОБЈАВЉУЈУ У СКЛАДУ СА ОВИМ ЗАКОНОМ И ПРАВИЛИМА ИНСТИТУТА КОЈА СУ УСКЛАЂЕНА СА ПРАВИЛИМА МЕЂУНАРОДНИХ И ЕВРОПСКИХ ОРГАНИЗАЦИЈА ЗА СТАНДАРДИЗАЦИЈУ И КОДЕКСОМ ДОБРЕ ПРАКСЕ ЗА ИЗРАДУ, ДОНОШЕЊЕ И ПРИМЕНУ СТАНДАРДА ИЗ СПОРАЗУМА О ТЕХНИЧКИМ ПРЕПРЕКАМА ТРГОВИНИ СВЕТСКЕ ТРГОВИНСКЕ ОРГАНИЗАЦИЈЕ.</w:t>
      </w:r>
    </w:p>
    <w:p w:rsidR="001A3927" w:rsidRDefault="001A3927" w:rsidP="001A3927">
      <w:pPr>
        <w:tabs>
          <w:tab w:val="left" w:pos="851"/>
        </w:tabs>
        <w:autoSpaceDE w:val="0"/>
        <w:autoSpaceDN w:val="0"/>
        <w:adjustRightInd w:val="0"/>
        <w:jc w:val="both"/>
        <w:rPr>
          <w:lang w:val="sr-Cyrl-RS"/>
        </w:rPr>
      </w:pPr>
      <w:r>
        <w:rPr>
          <w:lang w:val="sr-Cyrl-RS"/>
        </w:rPr>
        <w:tab/>
        <w:t>СРПСКИ СТАНДАРДИ ДОНОСЕ СЕ НА ОСНОВУ ПЛАНА ДОНОШЕЊА СРПСКИХ СТАНДАРДА КОЈИ СЕ УТВРЂУЈЕ НАЈМАЊЕ ЈЕДАНПУТ ГОДИШЊЕ И КОЈИ ЈЕ ЈАВНО ДОСТУПАН НА ИНТЕРНЕТ СТРАНИЦИ ИНСТИТУТА.</w:t>
      </w:r>
    </w:p>
    <w:p w:rsidR="001A3927" w:rsidRDefault="001A3927" w:rsidP="001A3927">
      <w:pPr>
        <w:autoSpaceDE w:val="0"/>
        <w:autoSpaceDN w:val="0"/>
        <w:adjustRightInd w:val="0"/>
        <w:jc w:val="both"/>
        <w:rPr>
          <w:lang w:val="sr-Cyrl-RS"/>
        </w:rPr>
      </w:pPr>
      <w:r>
        <w:rPr>
          <w:lang w:val="sr-Cyrl-RS"/>
        </w:rPr>
        <w:lastRenderedPageBreak/>
        <w:tab/>
        <w:t xml:space="preserve"> ПЛАН ДОНОШЕЊА СРПСКИХ СТАНДАРДА САДРЖИ ИНФОРМАЦИЈУ О СТАНДАРДИМА И СРОДНИМ ДОКУМЕНТИМА КОЈЕ ИНСТИТУТ НАМЕРАВА ДА ДОНЕСЕ ИЛИ МЕЊА, КОЈЕ ЈЕ ДОНЕО ИЛИ ИЗМЕНИО НА ОСНОВУ ПРЕТХОДНОГ ПЛАНА ДОНОШЕЊА СРПСКИХ СТАНДАРДА И НА КОЈИМА ТРЕНУТНО РАДИ, А КОЈИ НИСУ НАСТАЛИ ИДЕНТИЧНИМ ИЛИ ЕКВИВАЛЕНТНИМ ПРЕУЗИМАЊЕМ МЕЂУНАРОДНИХ ИЛИ ЕВРОПСКИХ СТАНДАРДА.</w:t>
      </w:r>
    </w:p>
    <w:p w:rsidR="001A3927" w:rsidRDefault="001A3927" w:rsidP="001A3927">
      <w:pPr>
        <w:autoSpaceDE w:val="0"/>
        <w:autoSpaceDN w:val="0"/>
        <w:adjustRightInd w:val="0"/>
        <w:jc w:val="both"/>
        <w:rPr>
          <w:lang w:val="sr-Cyrl-RS"/>
        </w:rPr>
      </w:pPr>
      <w:r>
        <w:rPr>
          <w:lang w:val="sr-Cyrl-RS"/>
        </w:rPr>
        <w:t xml:space="preserve">             ПЛАН ДОНОШЕЊА СРПСКИХ СТАНДАРДА САДРЖИ И ИНФОРМАЦИЈУ О БРОЈУ МЕЂУНАРОДНИХ И ЕВРОПСКИХ СТАНДАРДА ЗА КОЈЕ СЕ НА ОСНОВУ ДОСТУПНИХ ПОДАТАКА МЕЂУНАРОДНИХ И ЕВРОПСКИХ ОРГАНИЗАЦИЈА ЗА СТАНДАРДИЗАЦИЈУ ОЧЕКУЈЕ ДА ЋЕ ИХ ИНСТИТУТ ПРЕУЗЕТИ У СИСТЕМ НАЦИОНАЛНЕ СТАНДАРДИЗАЦИЈЕ. </w:t>
      </w:r>
    </w:p>
    <w:p w:rsidR="001A3927" w:rsidRDefault="001A3927" w:rsidP="001A3927">
      <w:pPr>
        <w:tabs>
          <w:tab w:val="left" w:pos="709"/>
          <w:tab w:val="left" w:pos="851"/>
        </w:tabs>
        <w:autoSpaceDE w:val="0"/>
        <w:autoSpaceDN w:val="0"/>
        <w:adjustRightInd w:val="0"/>
        <w:jc w:val="both"/>
        <w:rPr>
          <w:lang w:val="sr-Cyrl-RS"/>
        </w:rPr>
      </w:pPr>
      <w:r>
        <w:rPr>
          <w:lang w:val="sr-Cyrl-RS"/>
        </w:rPr>
        <w:t xml:space="preserve">            САДРЖИНА ПЛАНА ИЗ СТАВА 2. ОВОГ ЧЛАНА, БЛИЖЕ СЕ УРЕЂУЈЕ ОДЛУКОМ О ОСНИВАЊУ.</w:t>
      </w:r>
    </w:p>
    <w:p w:rsidR="001A3927" w:rsidRDefault="001A3927" w:rsidP="001A3927">
      <w:pPr>
        <w:tabs>
          <w:tab w:val="left" w:pos="709"/>
          <w:tab w:val="left" w:pos="851"/>
        </w:tabs>
        <w:autoSpaceDE w:val="0"/>
        <w:autoSpaceDN w:val="0"/>
        <w:adjustRightInd w:val="0"/>
        <w:jc w:val="both"/>
        <w:rPr>
          <w:lang w:val="sr-Cyrl-RS"/>
        </w:rPr>
      </w:pPr>
      <w:r>
        <w:rPr>
          <w:lang w:val="sr-Cyrl-RS"/>
        </w:rPr>
        <w:t xml:space="preserve">            КАО ОСНОВА ЗА ДОНОШЕЊЕ СРПСКИХ СТАНДАРДА КОРИСТЕ СЕ ПО ПРАВИЛУ МЕЂУНАРОДНИ, ОДНОСНО ЕВРОПСКИ СТАНДАРДИ И СРОДНИ ДОКУМЕНТИ. У СЛУЧАЈУ ДА У ОДРЕЂЕНОЈ ОБЛАСТИ НЕ ПОСТОЈИ МЕЂУНАРОДНИ ОДНОСНО ЕВРОПСКИ СТАНДАРД И СРОДНИ ДОКУМЕНТ ИЛИ ЈЕ ВАЖЕЋИ МЕЂУНАРОДНИ ОДНОСНО ЕВРОПСКИ СТАНДАРД НЕОДГОВАРАЈУЋИ, КАО ОСНОВА СЕ МОГУ КОРИСТИТИ НАЦИОНАЛНИ СТАНДАРДИ И СРОДНИ ДОКУМЕНТИ ДРУГИХ ДРЖАВА ИЛИ СЕ МОГУ ДОНОСИТИ ИЗВОРНИ СРПСКИ СТАНДАРДИ И СРОДНИ ДОКУМЕНТИ.</w:t>
      </w:r>
    </w:p>
    <w:p w:rsidR="001A3927" w:rsidRDefault="001A3927" w:rsidP="001A3927">
      <w:pPr>
        <w:tabs>
          <w:tab w:val="left" w:pos="851"/>
        </w:tabs>
        <w:autoSpaceDE w:val="0"/>
        <w:autoSpaceDN w:val="0"/>
        <w:adjustRightInd w:val="0"/>
        <w:jc w:val="both"/>
        <w:rPr>
          <w:lang w:val="sr-Cyrl-RS"/>
        </w:rPr>
      </w:pPr>
      <w:r>
        <w:rPr>
          <w:lang w:val="sr-Cyrl-RS"/>
        </w:rPr>
        <w:t xml:space="preserve">            ОБАВЕШТЕЊЕ О ПОКРЕТАЊУ ПОСТУПКА ЗА ДОНОШЕЊЕ СРПСКОГ СТАНДАРДА, А КАДА ЈЕ ТО НЕОПХОДНО И ЗА ДОНОШЕЊЕ СРОДНОГ ДОКУМЕНТА, КАО И ОБАВЕШТЕЊЕ О СТАВЉАЊУ НАЦРТА СРПСКОГ СТАНДАРДА ИЛИ СРОДНОГ ДОКУМЕНТА НА ЈАВНУ РАСПРАВУ, ИНСТИТУТ ОБЈАВЉУЈЕ У СВОМ ГЛАСИЛУ И ОБЕЗБЕЂУЈЕ СВИМ ЗАИНТЕРЕСОВАНИМ СТРАНАМА ПРИСТУП ТИМ НАЦРТИМА СРПСКИХ СТАНДАРДА И СРОДНИХ ДОКУМЕНАТА.</w:t>
      </w:r>
    </w:p>
    <w:p w:rsidR="001A3927" w:rsidRDefault="001A3927" w:rsidP="001A3927">
      <w:pPr>
        <w:autoSpaceDE w:val="0"/>
        <w:autoSpaceDN w:val="0"/>
        <w:adjustRightInd w:val="0"/>
        <w:ind w:firstLine="720"/>
        <w:jc w:val="both"/>
        <w:rPr>
          <w:lang w:val="sr-Cyrl-RS"/>
        </w:rPr>
      </w:pPr>
      <w:r>
        <w:rPr>
          <w:lang w:val="sr-Cyrl-RS"/>
        </w:rPr>
        <w:t>ИНСТИТУТ ОМОГУЋАВА УЧЕШЋЕ СВИМ ЗАИНТЕРЕСОВАНИМ СТРАНАМА У ПОСТУПКУ  ДОНОШЕЊА СРПСКИХ СТАНДАРДА И СРОДНИХ ДОКУМЕНАТА, КАО И ПРИСТУП ДОНЕТИМ СРПСКИМ СТАНДАРДИМА И СРОДНИМ ДОКУМЕНТИМА.</w:t>
      </w:r>
    </w:p>
    <w:p w:rsidR="001A3927" w:rsidRDefault="001A3927" w:rsidP="001A3927">
      <w:pPr>
        <w:tabs>
          <w:tab w:val="left" w:pos="709"/>
          <w:tab w:val="left" w:pos="851"/>
        </w:tabs>
        <w:autoSpaceDE w:val="0"/>
        <w:autoSpaceDN w:val="0"/>
        <w:adjustRightInd w:val="0"/>
        <w:jc w:val="both"/>
        <w:rPr>
          <w:lang w:val="sr-Cyrl-RS"/>
        </w:rPr>
      </w:pPr>
      <w:r>
        <w:rPr>
          <w:lang w:val="sr-Cyrl-RS"/>
        </w:rPr>
        <w:t xml:space="preserve">           НАЧИН УЧЕШЋА СВИХ ЗАИНТЕРЕСОВАНИХ СТРАНА У ПОСТУПКУ ДОНОШЕЊА СРПСКИХ СТАНДАРДА И СРОДНИХ ДОКУМЕНАТА И ПРИСТУП ДОНЕТИМ СРПСКИМ СТАНДАРДИМА И СРОДНИМ ДОКУМЕНТИМА, КАО И ПОДСТИЦАЈИ И ОЛАКШИЦЕ ЗА МАЛА И СРЕДЊА ПРИВРЕДНА ДРУШТВА И ПРЕДУЗЕТНИКЕ, УДРУЖЕЊА ПОТРОШАЧА И НЕВЛАДИНЕ ОРГАНИЗАЦИЈЕ, БЛИЖЕ СЕ УРЕЂУЈЕ ОПШТИМ АКТОМ ИНСТИТУТА.</w:t>
      </w:r>
    </w:p>
    <w:p w:rsidR="001A3927" w:rsidRDefault="001A3927" w:rsidP="001A3927">
      <w:pPr>
        <w:tabs>
          <w:tab w:val="left" w:pos="709"/>
          <w:tab w:val="left" w:pos="851"/>
        </w:tabs>
        <w:autoSpaceDE w:val="0"/>
        <w:autoSpaceDN w:val="0"/>
        <w:adjustRightInd w:val="0"/>
        <w:jc w:val="both"/>
        <w:rPr>
          <w:lang w:val="sr-Cyrl-RS"/>
        </w:rPr>
      </w:pPr>
      <w:r>
        <w:rPr>
          <w:lang w:val="sr-Cyrl-RS"/>
        </w:rPr>
        <w:t xml:space="preserve">           ИНСТИТУТ РАЗМЕЊУЈЕ НАЈБОЉЕ ПРАКСЕ СА ЦИЉЕМ ПОДСТИЦАЊА УЧЕШЋА МАЛИХ И СРЕДЊИХ ПРИВРЕДНИХ ДРУШТАВА  У АКТИВНОСТИМА СТАНДАРДИЗАЦИЈЕ.</w:t>
      </w:r>
    </w:p>
    <w:p w:rsidR="001A3927" w:rsidRDefault="001A3927" w:rsidP="001A3927">
      <w:pPr>
        <w:pStyle w:val="1tekst"/>
        <w:rPr>
          <w:rFonts w:ascii="Times New Roman" w:hAnsi="Times New Roman" w:cs="Times New Roman"/>
          <w:strike/>
          <w:sz w:val="24"/>
          <w:szCs w:val="24"/>
          <w:lang w:val="sr-Cyrl-RS"/>
        </w:rPr>
      </w:pPr>
    </w:p>
    <w:p w:rsidR="001A3927" w:rsidRDefault="001A3927" w:rsidP="001A3927">
      <w:pPr>
        <w:pStyle w:val="4clan"/>
        <w:rPr>
          <w:rFonts w:ascii="Times New Roman" w:hAnsi="Times New Roman" w:cs="Times New Roman"/>
          <w:strike/>
          <w:sz w:val="24"/>
          <w:szCs w:val="24"/>
          <w:lang w:val="sr-Cyrl-RS"/>
        </w:rPr>
      </w:pPr>
      <w:r>
        <w:rPr>
          <w:rFonts w:ascii="Times New Roman" w:hAnsi="Times New Roman" w:cs="Times New Roman"/>
          <w:strike/>
          <w:sz w:val="24"/>
          <w:szCs w:val="24"/>
          <w:lang w:val="sr-Cyrl-RS"/>
        </w:rPr>
        <w:t>Члан 13.</w:t>
      </w:r>
    </w:p>
    <w:bookmarkEnd w:id="10"/>
    <w:p w:rsidR="001A3927" w:rsidRDefault="001A3927" w:rsidP="001A3927">
      <w:pPr>
        <w:pStyle w:val="1tekst"/>
        <w:rPr>
          <w:rFonts w:ascii="Times New Roman" w:hAnsi="Times New Roman" w:cs="Times New Roman"/>
          <w:strike/>
          <w:sz w:val="24"/>
          <w:szCs w:val="24"/>
          <w:lang w:val="sr-Cyrl-RS"/>
        </w:rPr>
      </w:pPr>
      <w:r>
        <w:rPr>
          <w:rFonts w:ascii="Times New Roman" w:hAnsi="Times New Roman" w:cs="Times New Roman"/>
          <w:strike/>
          <w:sz w:val="24"/>
          <w:szCs w:val="24"/>
          <w:lang w:val="sr-Cyrl-RS"/>
        </w:rPr>
        <w:lastRenderedPageBreak/>
        <w:t>Акт којим се проглашава да је стандард или сродни документ донет, као и акт о повлачењу српског стандарда или сродног документа доноси надлежни орган Института, у форми решења, у складу са одлуком о оснивању.</w:t>
      </w:r>
    </w:p>
    <w:p w:rsidR="001A3927" w:rsidRDefault="001A3927" w:rsidP="001A3927">
      <w:pPr>
        <w:pStyle w:val="1tekst"/>
        <w:rPr>
          <w:rFonts w:ascii="Times New Roman" w:hAnsi="Times New Roman" w:cs="Times New Roman"/>
          <w:strike/>
          <w:sz w:val="24"/>
          <w:szCs w:val="24"/>
          <w:lang w:val="sr-Cyrl-RS"/>
        </w:rPr>
      </w:pPr>
      <w:r>
        <w:rPr>
          <w:rFonts w:ascii="Times New Roman" w:hAnsi="Times New Roman" w:cs="Times New Roman"/>
          <w:strike/>
          <w:sz w:val="24"/>
          <w:szCs w:val="24"/>
          <w:lang w:val="sr-Cyrl-RS"/>
        </w:rPr>
        <w:t>Решење из става 1. овог члана објављује се у "Службеном гласнику Републике Србије".</w:t>
      </w:r>
    </w:p>
    <w:p w:rsidR="001A3927" w:rsidRDefault="001A3927" w:rsidP="001A3927">
      <w:pPr>
        <w:pStyle w:val="1tekst"/>
        <w:rPr>
          <w:rFonts w:ascii="Times New Roman" w:hAnsi="Times New Roman" w:cs="Times New Roman"/>
          <w:strike/>
          <w:sz w:val="24"/>
          <w:szCs w:val="24"/>
          <w:lang w:val="sr-Cyrl-RS"/>
        </w:rPr>
      </w:pPr>
      <w:r>
        <w:rPr>
          <w:rFonts w:ascii="Times New Roman" w:hAnsi="Times New Roman" w:cs="Times New Roman"/>
          <w:strike/>
          <w:sz w:val="24"/>
          <w:szCs w:val="24"/>
          <w:lang w:val="sr-Cyrl-RS"/>
        </w:rPr>
        <w:t xml:space="preserve">Даном објављивања решења којим се проглашава да је стандард или сродни документ донет, тај стандард или сродни документ постаје доступан јавности. </w:t>
      </w:r>
    </w:p>
    <w:p w:rsidR="001A3927" w:rsidRDefault="001A3927" w:rsidP="001A3927">
      <w:pPr>
        <w:autoSpaceDE w:val="0"/>
        <w:autoSpaceDN w:val="0"/>
        <w:adjustRightInd w:val="0"/>
        <w:jc w:val="center"/>
        <w:rPr>
          <w:rFonts w:ascii="Times New Roman" w:hAnsi="Times New Roman"/>
          <w:sz w:val="24"/>
          <w:szCs w:val="24"/>
          <w:lang w:val="sr-Cyrl-RS"/>
        </w:rPr>
      </w:pPr>
      <w:r>
        <w:rPr>
          <w:lang w:val="sr-Cyrl-RS"/>
        </w:rPr>
        <w:t>„ЧЛАН 13.</w:t>
      </w:r>
    </w:p>
    <w:p w:rsidR="001A3927" w:rsidRDefault="001A3927" w:rsidP="001A3927">
      <w:pPr>
        <w:tabs>
          <w:tab w:val="left" w:pos="851"/>
        </w:tabs>
        <w:autoSpaceDE w:val="0"/>
        <w:autoSpaceDN w:val="0"/>
        <w:adjustRightInd w:val="0"/>
        <w:jc w:val="center"/>
        <w:rPr>
          <w:lang w:val="sr-Cyrl-RS"/>
        </w:rPr>
      </w:pPr>
    </w:p>
    <w:p w:rsidR="001A3927" w:rsidRDefault="001A3927" w:rsidP="001A3927">
      <w:pPr>
        <w:autoSpaceDE w:val="0"/>
        <w:autoSpaceDN w:val="0"/>
        <w:adjustRightInd w:val="0"/>
        <w:jc w:val="both"/>
        <w:rPr>
          <w:lang w:val="sr-Cyrl-RS"/>
        </w:rPr>
      </w:pPr>
      <w:r>
        <w:rPr>
          <w:lang w:val="sr-Cyrl-RS"/>
        </w:rPr>
        <w:t xml:space="preserve">             АКТ КОЈИМ СЕ ПРОГЛАШАВА ДА ЈЕ СРПСКИ СТАНДАРД ИЛИ СРОДНИ ДОКУМЕНТ ДОНЕТ, КАО И АКТ О ПОВЛАЧЕЊУ СРПСКОГ СТАНДАРДА ИЛИ СРОДНОГ ДОКУМЕНТА ДОНОСИ ДИРЕКТОР ИНСТИТУТА.</w:t>
      </w:r>
    </w:p>
    <w:p w:rsidR="001A3927" w:rsidRDefault="001A3927" w:rsidP="001A3927">
      <w:pPr>
        <w:autoSpaceDE w:val="0"/>
        <w:autoSpaceDN w:val="0"/>
        <w:adjustRightInd w:val="0"/>
        <w:jc w:val="both"/>
        <w:rPr>
          <w:lang w:val="sr-Cyrl-RS"/>
        </w:rPr>
      </w:pPr>
      <w:r>
        <w:rPr>
          <w:lang w:val="sr-Cyrl-RS"/>
        </w:rPr>
        <w:t xml:space="preserve">             ИНФОРМАЦИЈА О ДОНОШЕЊУ И ПОВЛАЧЕЊУ СРПСКИХ СТАНДАРДА И СРОДНИХ ДОКУМЕНАТА СА ДАТУМОМ ДОНОШЕЊА И БРОЈЕМ АКТА ИЗ СТАВА 1. ОВОГ ЧЛАНА, ОБЈАВЉУЈЕ СЕ У ГЛАСИЛУ ИНСТИТУТА И НА ИНТЕРНЕТ СТРАНИЦИ ИНСТИТУТА.”</w:t>
      </w:r>
    </w:p>
    <w:bookmarkEnd w:id="9"/>
    <w:p w:rsidR="001A3927" w:rsidRDefault="001A3927" w:rsidP="001A3927">
      <w:pPr>
        <w:pStyle w:val="4clan"/>
        <w:rPr>
          <w:rFonts w:ascii="Times New Roman" w:hAnsi="Times New Roman" w:cs="Times New Roman"/>
          <w:sz w:val="24"/>
          <w:szCs w:val="24"/>
          <w:lang w:val="sr-Cyrl-RS"/>
        </w:rPr>
      </w:pPr>
      <w:r>
        <w:rPr>
          <w:rFonts w:ascii="Times New Roman" w:hAnsi="Times New Roman" w:cs="Times New Roman"/>
          <w:sz w:val="24"/>
          <w:szCs w:val="24"/>
          <w:lang w:val="sr-Cyrl-RS"/>
        </w:rPr>
        <w:t xml:space="preserve">Члан 15. </w:t>
      </w:r>
    </w:p>
    <w:p w:rsidR="001A3927" w:rsidRDefault="001A3927" w:rsidP="001A3927">
      <w:pPr>
        <w:pStyle w:val="1tekst"/>
        <w:rPr>
          <w:rFonts w:ascii="Times New Roman" w:hAnsi="Times New Roman" w:cs="Times New Roman"/>
          <w:sz w:val="24"/>
          <w:szCs w:val="24"/>
          <w:lang w:val="sr-Cyrl-RS"/>
        </w:rPr>
      </w:pPr>
      <w:r>
        <w:rPr>
          <w:rFonts w:ascii="Times New Roman" w:hAnsi="Times New Roman" w:cs="Times New Roman"/>
          <w:sz w:val="24"/>
          <w:szCs w:val="24"/>
          <w:lang w:val="sr-Cyrl-RS"/>
        </w:rPr>
        <w:t>Српски стандарди доносе се и објављују на српском језику и писму, у складу са законом којим се уређује службена употреба језика и писма.</w:t>
      </w:r>
    </w:p>
    <w:p w:rsidR="001A3927" w:rsidRDefault="001A3927" w:rsidP="001A3927">
      <w:pPr>
        <w:pStyle w:val="1tekst"/>
        <w:rPr>
          <w:rFonts w:ascii="Times New Roman" w:hAnsi="Times New Roman" w:cs="Times New Roman"/>
          <w:sz w:val="24"/>
          <w:szCs w:val="24"/>
          <w:lang w:val="sr-Cyrl-RS"/>
        </w:rPr>
      </w:pPr>
      <w:r>
        <w:rPr>
          <w:rFonts w:ascii="Times New Roman" w:hAnsi="Times New Roman" w:cs="Times New Roman"/>
          <w:sz w:val="24"/>
          <w:szCs w:val="24"/>
          <w:lang w:val="sr-Cyrl-RS"/>
        </w:rPr>
        <w:t xml:space="preserve">Изузетно, када је основа за доношење српског стандарда, стандард, односно сродни документ из члана 12. </w:t>
      </w:r>
      <w:r>
        <w:rPr>
          <w:rFonts w:ascii="Times New Roman" w:hAnsi="Times New Roman" w:cs="Times New Roman"/>
          <w:strike/>
          <w:sz w:val="24"/>
          <w:szCs w:val="24"/>
          <w:lang w:val="sr-Cyrl-RS"/>
        </w:rPr>
        <w:t>став 2.</w:t>
      </w:r>
      <w:r>
        <w:rPr>
          <w:rFonts w:ascii="Times New Roman" w:hAnsi="Times New Roman" w:cs="Times New Roman"/>
          <w:sz w:val="24"/>
          <w:szCs w:val="24"/>
          <w:lang w:val="sr-Cyrl-RS"/>
        </w:rPr>
        <w:t xml:space="preserve"> СТАВ 6. овог закона, српски стандард може бити објављен и на једном од званичних језика европских организација за стандардизацију. </w:t>
      </w:r>
    </w:p>
    <w:p w:rsidR="001A3927" w:rsidRDefault="001A3927" w:rsidP="001A3927">
      <w:pPr>
        <w:autoSpaceDE w:val="0"/>
        <w:autoSpaceDN w:val="0"/>
        <w:adjustRightInd w:val="0"/>
        <w:jc w:val="both"/>
        <w:rPr>
          <w:rFonts w:ascii="Times New Roman" w:hAnsi="Times New Roman"/>
          <w:sz w:val="24"/>
          <w:szCs w:val="24"/>
          <w:lang w:val="sr-Cyrl-RS"/>
        </w:rPr>
      </w:pPr>
      <w:r>
        <w:rPr>
          <w:lang w:val="sr-Cyrl-RS"/>
        </w:rPr>
        <w:t xml:space="preserve">            „ОДРЕДБЕ СТ. 1 И 2. ОВОГ ЧЛАНА, СХОДНО СЕ ПРИМЕЊУЈУ И НА СРОДНЕ ДОКУМЕНТЕ.”</w:t>
      </w:r>
    </w:p>
    <w:p w:rsidR="001A3927" w:rsidRDefault="001A3927" w:rsidP="001A3927">
      <w:pPr>
        <w:pStyle w:val="6naslov"/>
        <w:rPr>
          <w:rFonts w:ascii="Times New Roman" w:hAnsi="Times New Roman" w:cs="Times New Roman"/>
          <w:sz w:val="24"/>
          <w:szCs w:val="24"/>
          <w:lang w:val="sr-Cyrl-RS"/>
        </w:rPr>
      </w:pPr>
    </w:p>
    <w:p w:rsidR="001A3927" w:rsidRDefault="001A3927" w:rsidP="001A3927">
      <w:pPr>
        <w:pStyle w:val="6naslov"/>
        <w:rPr>
          <w:rFonts w:ascii="Times New Roman" w:hAnsi="Times New Roman" w:cs="Times New Roman"/>
          <w:sz w:val="24"/>
          <w:szCs w:val="24"/>
          <w:lang w:val="sr-Cyrl-RS"/>
        </w:rPr>
      </w:pPr>
      <w:bookmarkStart w:id="11" w:name="SADRZAJ_023"/>
      <w:r>
        <w:rPr>
          <w:rFonts w:ascii="Times New Roman" w:hAnsi="Times New Roman" w:cs="Times New Roman"/>
          <w:sz w:val="24"/>
          <w:szCs w:val="24"/>
          <w:lang w:val="sr-Cyrl-RS"/>
        </w:rPr>
        <w:t>IV. ПРИМЕНА СРПСКИХ СТАНДАРДА</w:t>
      </w:r>
    </w:p>
    <w:p w:rsidR="001A3927" w:rsidRDefault="001A3927" w:rsidP="001A3927">
      <w:pPr>
        <w:pStyle w:val="6naslov"/>
        <w:rPr>
          <w:rFonts w:ascii="Times New Roman" w:hAnsi="Times New Roman" w:cs="Times New Roman"/>
          <w:sz w:val="24"/>
          <w:szCs w:val="24"/>
          <w:lang w:val="sr-Cyrl-RS"/>
        </w:rPr>
      </w:pPr>
    </w:p>
    <w:p w:rsidR="001A3927" w:rsidRDefault="001A3927" w:rsidP="001A3927">
      <w:pPr>
        <w:pStyle w:val="4clan"/>
        <w:rPr>
          <w:rFonts w:ascii="Times New Roman" w:hAnsi="Times New Roman" w:cs="Times New Roman"/>
          <w:sz w:val="24"/>
          <w:szCs w:val="24"/>
          <w:lang w:val="sr-Cyrl-RS"/>
        </w:rPr>
      </w:pPr>
      <w:r>
        <w:rPr>
          <w:rFonts w:ascii="Times New Roman" w:hAnsi="Times New Roman" w:cs="Times New Roman"/>
          <w:sz w:val="24"/>
          <w:szCs w:val="24"/>
          <w:lang w:val="sr-Cyrl-RS"/>
        </w:rPr>
        <w:t xml:space="preserve">Члан 17. </w:t>
      </w:r>
    </w:p>
    <w:p w:rsidR="001A3927" w:rsidRDefault="001A3927" w:rsidP="001A3927">
      <w:pPr>
        <w:pStyle w:val="1tekst"/>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Примена српских стандарда и сродних докумената је добровољна. </w:t>
      </w:r>
    </w:p>
    <w:p w:rsidR="001A3927" w:rsidRDefault="001A3927" w:rsidP="001A3927">
      <w:pPr>
        <w:pStyle w:val="1tekst"/>
        <w:rPr>
          <w:rFonts w:ascii="Times New Roman" w:hAnsi="Times New Roman" w:cs="Times New Roman"/>
          <w:strike/>
          <w:sz w:val="24"/>
          <w:szCs w:val="24"/>
          <w:lang w:val="sr-Cyrl-RS"/>
        </w:rPr>
      </w:pPr>
      <w:r>
        <w:rPr>
          <w:rFonts w:ascii="Times New Roman" w:hAnsi="Times New Roman" w:cs="Times New Roman"/>
          <w:strike/>
          <w:sz w:val="24"/>
          <w:szCs w:val="24"/>
          <w:lang w:val="sr-Cyrl-RS"/>
        </w:rPr>
        <w:t>Изузетно од става 1. овог члана, ако се технички пропис позива на српски стандард тако да је испуњавање захтева тог стандарда једини начин да се постигне усаглашеност са захтевима из техничког прописа, такав стандард се примењује као технички пропис.</w:t>
      </w:r>
    </w:p>
    <w:p w:rsidR="001A3927" w:rsidRDefault="001A3927" w:rsidP="001A3927">
      <w:pPr>
        <w:tabs>
          <w:tab w:val="left" w:pos="851"/>
        </w:tabs>
        <w:autoSpaceDE w:val="0"/>
        <w:autoSpaceDN w:val="0"/>
        <w:adjustRightInd w:val="0"/>
        <w:jc w:val="both"/>
        <w:rPr>
          <w:rFonts w:ascii="Times New Roman" w:hAnsi="Times New Roman"/>
          <w:sz w:val="24"/>
          <w:szCs w:val="24"/>
          <w:lang w:val="sr-Cyrl-RS"/>
        </w:rPr>
      </w:pPr>
      <w:r>
        <w:rPr>
          <w:lang w:val="sr-Cyrl-RS"/>
        </w:rPr>
        <w:t xml:space="preserve">        „ТЕХНИЧКИ ИЛИ ДРУГИ ПРОПИС СЕ МОЖЕ ПОЗИВАТИ САМО НА OБЈАВЉЕНЕ СРПСКЕ СТАНДАРДЕ.</w:t>
      </w:r>
    </w:p>
    <w:p w:rsidR="001A3927" w:rsidRDefault="001A3927" w:rsidP="001A3927">
      <w:pPr>
        <w:tabs>
          <w:tab w:val="left" w:pos="851"/>
        </w:tabs>
        <w:autoSpaceDE w:val="0"/>
        <w:autoSpaceDN w:val="0"/>
        <w:adjustRightInd w:val="0"/>
        <w:jc w:val="both"/>
        <w:rPr>
          <w:lang w:val="sr-Cyrl-RS"/>
        </w:rPr>
      </w:pPr>
      <w:r>
        <w:rPr>
          <w:lang w:val="sr-Cyrl-RS"/>
        </w:rPr>
        <w:t xml:space="preserve">          ИЗУЗЕТНО ОД СТАВА 2. ОВОГ ЧЛАНА, УКОЛИКО НЕМА ОБЈАВЉЕНОГ СРПСКОГ СТАНДАРДА У ОДГОВАРАЈУЋОЈ ОБЛАСТИ, У ТЕХНИЧКОМ ИЛИ ДРУГОМ ПРОПИСУ РЕПУБЛИКЕ СРБИЈE МОЖЕ СЕ ВРШИТИ ПОЗИВАЊЕ НА МЕЂУНАРОДНИ, ЕВРОПСКИ ИЛИ НАЦИОНАЛНИ СТАНДАРД ДРУГИХ ДРЖАВА. ”</w:t>
      </w:r>
    </w:p>
    <w:p w:rsidR="001A3927" w:rsidRDefault="001A3927" w:rsidP="001A3927">
      <w:pPr>
        <w:pStyle w:val="1tekst"/>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p>
    <w:bookmarkEnd w:id="11"/>
    <w:p w:rsidR="001A3927" w:rsidRDefault="001A3927" w:rsidP="001A3927">
      <w:pPr>
        <w:autoSpaceDE w:val="0"/>
        <w:autoSpaceDN w:val="0"/>
        <w:adjustRightInd w:val="0"/>
        <w:ind w:firstLine="708"/>
        <w:jc w:val="both"/>
        <w:rPr>
          <w:rFonts w:ascii="TimesNewRomanPSMT" w:hAnsi="TimesNewRomanPSMT" w:cs="TimesNewRomanPSMT"/>
          <w:sz w:val="24"/>
          <w:szCs w:val="24"/>
          <w:lang w:val="sr-Cyrl-RS" w:eastAsia="sr-Latn-CS"/>
        </w:rPr>
      </w:pPr>
    </w:p>
    <w:p w:rsidR="00173CB1" w:rsidRDefault="00173CB1">
      <w:pPr>
        <w:spacing w:after="0" w:line="240" w:lineRule="auto"/>
        <w:rPr>
          <w:rFonts w:ascii="Times New Roman" w:hAnsi="Times New Roman"/>
          <w:sz w:val="24"/>
          <w:szCs w:val="24"/>
        </w:rPr>
      </w:pPr>
      <w:r>
        <w:rPr>
          <w:rFonts w:ascii="Times New Roman" w:hAnsi="Times New Roman"/>
          <w:sz w:val="24"/>
          <w:szCs w:val="24"/>
        </w:rPr>
        <w:br w:type="page"/>
      </w:r>
    </w:p>
    <w:p w:rsidR="00173CB1" w:rsidRDefault="00173CB1" w:rsidP="00173CB1">
      <w:pPr>
        <w:shd w:val="clear" w:color="auto" w:fill="FFFFFF"/>
        <w:jc w:val="center"/>
        <w:rPr>
          <w:b/>
          <w:sz w:val="28"/>
          <w:lang w:val="sr-Cyrl-CS"/>
        </w:rPr>
      </w:pPr>
      <w:r>
        <w:rPr>
          <w:b/>
          <w:sz w:val="28"/>
          <w:lang w:val="sr-Cyrl-CS"/>
        </w:rPr>
        <w:lastRenderedPageBreak/>
        <w:t xml:space="preserve">ОБРАЗАЦ </w:t>
      </w:r>
      <w:r>
        <w:rPr>
          <w:b/>
          <w:sz w:val="28"/>
        </w:rPr>
        <w:t>ИЗЈАВ</w:t>
      </w:r>
      <w:r>
        <w:rPr>
          <w:b/>
          <w:sz w:val="28"/>
          <w:lang w:val="sr-Cyrl-CS"/>
        </w:rPr>
        <w:t>Е</w:t>
      </w:r>
      <w:r>
        <w:rPr>
          <w:b/>
          <w:sz w:val="28"/>
        </w:rPr>
        <w:t xml:space="preserve"> О УСКЛАЂЕНОСТИ ПРОПИСА С</w:t>
      </w:r>
      <w:r>
        <w:rPr>
          <w:b/>
          <w:sz w:val="28"/>
          <w:lang w:val="sr-Cyrl-CS"/>
        </w:rPr>
        <w:t>А ПРОПИСИМА ЕВРОПСКЕ УНИЈЕ</w:t>
      </w:r>
    </w:p>
    <w:p w:rsidR="00173CB1" w:rsidRDefault="00173CB1" w:rsidP="00173CB1">
      <w:pPr>
        <w:shd w:val="clear" w:color="auto" w:fill="FFFFFF"/>
        <w:rPr>
          <w:sz w:val="24"/>
          <w:lang w:val="sr-Cyrl-CS"/>
        </w:rPr>
      </w:pPr>
    </w:p>
    <w:p w:rsidR="00173CB1" w:rsidRDefault="00173CB1" w:rsidP="00173CB1">
      <w:pPr>
        <w:pStyle w:val="FootnoteText"/>
        <w:spacing w:line="240" w:lineRule="auto"/>
        <w:rPr>
          <w:lang w:val="sr-Cyrl-CS"/>
        </w:rPr>
      </w:pPr>
    </w:p>
    <w:p w:rsidR="00173CB1" w:rsidRDefault="00173CB1" w:rsidP="00173CB1">
      <w:pPr>
        <w:jc w:val="both"/>
        <w:rPr>
          <w:b/>
          <w:lang w:val="sr-Cyrl-CS"/>
        </w:rPr>
      </w:pPr>
      <w:r>
        <w:rPr>
          <w:b/>
        </w:rPr>
        <w:t xml:space="preserve">1. </w:t>
      </w:r>
      <w:r>
        <w:rPr>
          <w:b/>
          <w:lang w:val="sr-Cyrl-CS"/>
        </w:rPr>
        <w:t xml:space="preserve">Орган државне управе, односно други овлашћени предлагач прописа </w:t>
      </w:r>
    </w:p>
    <w:p w:rsidR="00173CB1" w:rsidRDefault="00173CB1" w:rsidP="00173CB1">
      <w:pPr>
        <w:jc w:val="both"/>
        <w:rPr>
          <w:lang w:val="en-GB"/>
        </w:rPr>
      </w:pPr>
      <w:r>
        <w:rPr>
          <w:lang w:val="sr-Cyrl-CS"/>
        </w:rPr>
        <w:t xml:space="preserve">    </w:t>
      </w:r>
      <w:r>
        <w:rPr>
          <w:b/>
          <w:lang w:val="sr-Cyrl-CS"/>
        </w:rPr>
        <w:t>Овлашћени предлагач</w:t>
      </w:r>
      <w:r>
        <w:rPr>
          <w:lang w:val="sr-Cyrl-CS"/>
        </w:rPr>
        <w:t>: ВЛАДА</w:t>
      </w:r>
    </w:p>
    <w:p w:rsidR="00173CB1" w:rsidRDefault="00173CB1" w:rsidP="00173CB1">
      <w:pPr>
        <w:jc w:val="both"/>
        <w:rPr>
          <w:lang w:val="sr-Cyrl-CS"/>
        </w:rPr>
      </w:pPr>
      <w:r>
        <w:rPr>
          <w:lang w:val="sr-Cyrl-CS"/>
        </w:rPr>
        <w:t xml:space="preserve">    </w:t>
      </w:r>
      <w:r>
        <w:rPr>
          <w:b/>
          <w:lang w:val="sr-Cyrl-CS"/>
        </w:rPr>
        <w:t>Обрађивач</w:t>
      </w:r>
      <w:r>
        <w:rPr>
          <w:lang w:val="sr-Cyrl-CS"/>
        </w:rPr>
        <w:t>:  МИНИСТАРСТВО ПРИВРЕДЕ</w:t>
      </w:r>
    </w:p>
    <w:p w:rsidR="00173CB1" w:rsidRDefault="00173CB1" w:rsidP="00173CB1">
      <w:pPr>
        <w:jc w:val="both"/>
        <w:rPr>
          <w:lang w:val="hr-HR"/>
        </w:rPr>
      </w:pPr>
    </w:p>
    <w:p w:rsidR="00173CB1" w:rsidRDefault="00173CB1" w:rsidP="00173CB1">
      <w:pPr>
        <w:jc w:val="both"/>
        <w:rPr>
          <w:b/>
          <w:lang w:val="sr-Cyrl-CS"/>
        </w:rPr>
      </w:pPr>
      <w:r>
        <w:rPr>
          <w:b/>
        </w:rPr>
        <w:t xml:space="preserve">2. Назив </w:t>
      </w:r>
      <w:r>
        <w:rPr>
          <w:b/>
          <w:lang w:val="sr-Cyrl-CS"/>
        </w:rPr>
        <w:t>прописа</w:t>
      </w:r>
    </w:p>
    <w:p w:rsidR="00173CB1" w:rsidRDefault="00173CB1" w:rsidP="00173CB1">
      <w:pPr>
        <w:jc w:val="both"/>
        <w:rPr>
          <w:lang w:val="sr-Cyrl-CS"/>
        </w:rPr>
      </w:pPr>
    </w:p>
    <w:p w:rsidR="00173CB1" w:rsidRDefault="00173CB1" w:rsidP="00173CB1">
      <w:pPr>
        <w:jc w:val="both"/>
        <w:rPr>
          <w:lang w:val="sr-Cyrl-CS"/>
        </w:rPr>
      </w:pPr>
      <w:r>
        <w:rPr>
          <w:lang w:val="sr-Cyrl-CS"/>
        </w:rPr>
        <w:t>ПРЕДЛОГ ЗАКОНА О ИЗМЕНАМА И ДОПУНАМА ЗАКОНА О СТАНДАРДИЗАЦИЈИ</w:t>
      </w:r>
    </w:p>
    <w:p w:rsidR="00173CB1" w:rsidRDefault="00173CB1" w:rsidP="00173CB1">
      <w:pPr>
        <w:jc w:val="both"/>
        <w:rPr>
          <w:lang w:val="sr-Cyrl-CS"/>
        </w:rPr>
      </w:pPr>
    </w:p>
    <w:p w:rsidR="00173CB1" w:rsidRDefault="00173CB1" w:rsidP="00173CB1">
      <w:pPr>
        <w:jc w:val="both"/>
        <w:rPr>
          <w:b/>
          <w:lang w:val="sr-Cyrl-CS"/>
        </w:rPr>
      </w:pPr>
      <w:r>
        <w:rPr>
          <w:b/>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 у даљем тексту: Споразум), односно с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 у даљем тексту: Прелазни споразум):</w:t>
      </w:r>
    </w:p>
    <w:p w:rsidR="00173CB1" w:rsidRDefault="00173CB1" w:rsidP="00173CB1">
      <w:pPr>
        <w:jc w:val="both"/>
        <w:rPr>
          <w:b/>
          <w:lang w:val="sr-Cyrl-CS"/>
        </w:rPr>
      </w:pPr>
    </w:p>
    <w:p w:rsidR="00173CB1" w:rsidRDefault="00173CB1" w:rsidP="00173CB1">
      <w:pPr>
        <w:jc w:val="both"/>
        <w:rPr>
          <w:b/>
          <w:lang w:val="sr-Cyrl-CS"/>
        </w:rPr>
      </w:pPr>
      <w:r>
        <w:rPr>
          <w:b/>
          <w:lang w:val="sr-Cyrl-CS"/>
        </w:rPr>
        <w:t>а) Одредба Споразума и Прелазног споразума која се односе на нормативну саржину прописа,</w:t>
      </w:r>
    </w:p>
    <w:p w:rsidR="00173CB1" w:rsidRDefault="00173CB1" w:rsidP="00173CB1">
      <w:pPr>
        <w:jc w:val="both"/>
        <w:rPr>
          <w:lang w:val="sr-Cyrl-CS"/>
        </w:rPr>
      </w:pPr>
      <w:r>
        <w:rPr>
          <w:lang w:val="sr-Cyrl-CS"/>
        </w:rPr>
        <w:t>- Члан 77. Споразума</w:t>
      </w:r>
    </w:p>
    <w:p w:rsidR="00173CB1" w:rsidRDefault="00173CB1" w:rsidP="00173CB1">
      <w:pPr>
        <w:jc w:val="both"/>
        <w:rPr>
          <w:lang w:val="en-GB"/>
        </w:rPr>
      </w:pPr>
    </w:p>
    <w:p w:rsidR="00173CB1" w:rsidRDefault="00173CB1" w:rsidP="00173CB1">
      <w:pPr>
        <w:jc w:val="both"/>
        <w:rPr>
          <w:b/>
          <w:lang w:val="sr-Cyrl-CS"/>
        </w:rPr>
      </w:pPr>
      <w:r>
        <w:rPr>
          <w:b/>
          <w:lang w:val="sr-Cyrl-CS"/>
        </w:rPr>
        <w:t>б) Прелазни рок за усклађивање законодавства према одредбама Споразума и Прелазног споразума,</w:t>
      </w:r>
    </w:p>
    <w:p w:rsidR="00173CB1" w:rsidRDefault="00173CB1" w:rsidP="00173CB1">
      <w:pPr>
        <w:jc w:val="both"/>
        <w:rPr>
          <w:lang w:val="sr-Cyrl-CS"/>
        </w:rPr>
      </w:pPr>
      <w:r>
        <w:rPr>
          <w:lang w:val="sr-Latn-CS"/>
        </w:rPr>
        <w:t xml:space="preserve">- </w:t>
      </w:r>
      <w:r>
        <w:rPr>
          <w:lang w:val="sr-Cyrl-CS"/>
        </w:rPr>
        <w:t>Члан 72. Споразума</w:t>
      </w:r>
    </w:p>
    <w:p w:rsidR="00173CB1" w:rsidRDefault="00173CB1" w:rsidP="00173CB1">
      <w:pPr>
        <w:jc w:val="both"/>
        <w:rPr>
          <w:lang w:val="sr-Cyrl-CS"/>
        </w:rPr>
      </w:pPr>
    </w:p>
    <w:p w:rsidR="00173CB1" w:rsidRDefault="00173CB1" w:rsidP="00173CB1">
      <w:pPr>
        <w:jc w:val="both"/>
        <w:rPr>
          <w:b/>
          <w:lang w:val="sr-Cyrl-CS"/>
        </w:rPr>
      </w:pPr>
      <w:r>
        <w:rPr>
          <w:b/>
          <w:lang w:val="sr-Cyrl-CS"/>
        </w:rPr>
        <w:t>в) Оцена испуњености обавезе које произлазе из наведене одредбе Споразума и Прелазног споразума,</w:t>
      </w:r>
    </w:p>
    <w:p w:rsidR="00173CB1" w:rsidRDefault="00173CB1" w:rsidP="00173CB1">
      <w:pPr>
        <w:jc w:val="both"/>
        <w:rPr>
          <w:lang w:val="sr-Cyrl-CS"/>
        </w:rPr>
      </w:pPr>
      <w:r>
        <w:rPr>
          <w:lang w:val="sr-Latn-CS"/>
        </w:rPr>
        <w:t xml:space="preserve">- </w:t>
      </w:r>
      <w:r>
        <w:rPr>
          <w:lang w:val="sr-Cyrl-CS"/>
        </w:rPr>
        <w:t>У потпуности</w:t>
      </w:r>
    </w:p>
    <w:p w:rsidR="00173CB1" w:rsidRDefault="00173CB1" w:rsidP="00173CB1">
      <w:pPr>
        <w:jc w:val="both"/>
        <w:rPr>
          <w:lang w:val="sr-Cyrl-CS"/>
        </w:rPr>
      </w:pPr>
    </w:p>
    <w:p w:rsidR="00173CB1" w:rsidRDefault="00173CB1" w:rsidP="00173CB1">
      <w:pPr>
        <w:jc w:val="both"/>
        <w:rPr>
          <w:b/>
          <w:lang w:val="sr-Cyrl-CS"/>
        </w:rPr>
      </w:pPr>
      <w:r>
        <w:rPr>
          <w:b/>
          <w:lang w:val="sr-Cyrl-CS"/>
        </w:rPr>
        <w:t>г) Разлози за делимично испуњавање, односно неиспуњавање обавеза које произлазе из наведене одредбе Споразума и Прелазног споразума,</w:t>
      </w:r>
    </w:p>
    <w:p w:rsidR="00173CB1" w:rsidRDefault="00173CB1" w:rsidP="00173CB1">
      <w:pPr>
        <w:jc w:val="both"/>
        <w:rPr>
          <w:lang w:val="sr-Cyrl-CS"/>
        </w:rPr>
      </w:pPr>
      <w:r>
        <w:rPr>
          <w:lang w:val="sr-Cyrl-CS"/>
        </w:rPr>
        <w:t>/</w:t>
      </w:r>
    </w:p>
    <w:p w:rsidR="00173CB1" w:rsidRDefault="00173CB1" w:rsidP="00173CB1">
      <w:pPr>
        <w:jc w:val="both"/>
        <w:rPr>
          <w:b/>
          <w:lang w:val="sr-Cyrl-CS"/>
        </w:rPr>
      </w:pPr>
      <w:r>
        <w:rPr>
          <w:b/>
          <w:lang w:val="sr-Cyrl-CS"/>
        </w:rPr>
        <w:t>д) Веза са Националним програмом за усвајање правних тековина Европске уније.</w:t>
      </w:r>
    </w:p>
    <w:p w:rsidR="00173CB1" w:rsidRDefault="00173CB1" w:rsidP="00173CB1">
      <w:pPr>
        <w:jc w:val="both"/>
        <w:rPr>
          <w:b/>
          <w:lang w:val="sr-Cyrl-CS"/>
        </w:rPr>
      </w:pPr>
    </w:p>
    <w:p w:rsidR="00173CB1" w:rsidRDefault="00173CB1" w:rsidP="00173CB1">
      <w:pPr>
        <w:jc w:val="both"/>
        <w:rPr>
          <w:lang w:val="sr-Cyrl-CS"/>
        </w:rPr>
      </w:pPr>
      <w:r>
        <w:rPr>
          <w:lang w:val="sr-Cyrl-CS"/>
        </w:rPr>
        <w:t xml:space="preserve"> - Закон о изменама и допунама Закона о стандардизацији предвиђен је НПАА у делу 3. Способност преузимања обавеза из чланства у Европској унији (у даљем тексту: ЕУ), област 3.1. Слобода кретања роба,</w:t>
      </w:r>
      <w:r>
        <w:rPr>
          <w:lang w:val="en-GB"/>
        </w:rPr>
        <w:t xml:space="preserve"> </w:t>
      </w:r>
      <w:r>
        <w:rPr>
          <w:lang w:val="sr-Cyrl-CS"/>
        </w:rPr>
        <w:t>3.1.1. Хоризонтална питања, Мере за спровођење приоритета у 2013. години.</w:t>
      </w:r>
    </w:p>
    <w:p w:rsidR="00173CB1" w:rsidRDefault="00173CB1" w:rsidP="00173CB1">
      <w:pPr>
        <w:jc w:val="both"/>
        <w:rPr>
          <w:lang w:val="sr-Cyrl-CS"/>
        </w:rPr>
      </w:pPr>
    </w:p>
    <w:p w:rsidR="00173CB1" w:rsidRDefault="00173CB1" w:rsidP="00173CB1">
      <w:pPr>
        <w:jc w:val="both"/>
        <w:rPr>
          <w:b/>
          <w:lang w:val="sr-Cyrl-CS"/>
        </w:rPr>
      </w:pPr>
      <w:r>
        <w:rPr>
          <w:b/>
          <w:lang w:val="sr-Cyrl-CS"/>
        </w:rPr>
        <w:t xml:space="preserve">4. </w:t>
      </w:r>
      <w:r>
        <w:rPr>
          <w:b/>
        </w:rPr>
        <w:t>Усклађеност</w:t>
      </w:r>
      <w:r>
        <w:rPr>
          <w:b/>
          <w:lang w:val="sr-Cyrl-CS"/>
        </w:rPr>
        <w:t xml:space="preserve"> прописа </w:t>
      </w:r>
      <w:r>
        <w:rPr>
          <w:b/>
        </w:rPr>
        <w:t>с</w:t>
      </w:r>
      <w:r>
        <w:rPr>
          <w:b/>
          <w:lang w:val="sr-Cyrl-CS"/>
        </w:rPr>
        <w:t>а прописима Европске уније:</w:t>
      </w:r>
    </w:p>
    <w:p w:rsidR="00173CB1" w:rsidRDefault="00173CB1" w:rsidP="00173CB1">
      <w:pPr>
        <w:jc w:val="both"/>
        <w:rPr>
          <w:lang w:val="hr-HR"/>
        </w:rPr>
      </w:pPr>
    </w:p>
    <w:p w:rsidR="00173CB1" w:rsidRDefault="00173CB1" w:rsidP="00173CB1">
      <w:pPr>
        <w:jc w:val="both"/>
        <w:rPr>
          <w:b/>
          <w:lang w:val="sr-Cyrl-CS"/>
        </w:rPr>
      </w:pPr>
      <w:r>
        <w:rPr>
          <w:b/>
        </w:rPr>
        <w:t xml:space="preserve">а) </w:t>
      </w:r>
      <w:r>
        <w:rPr>
          <w:b/>
          <w:lang w:val="sr-Cyrl-CS"/>
        </w:rPr>
        <w:t>Навођење</w:t>
      </w:r>
      <w:r>
        <w:rPr>
          <w:b/>
          <w:lang w:val="sr-Latn-CS"/>
        </w:rPr>
        <w:t xml:space="preserve"> </w:t>
      </w:r>
      <w:r>
        <w:rPr>
          <w:b/>
          <w:lang w:val="sr-Cyrl-CS"/>
        </w:rPr>
        <w:t>одредби</w:t>
      </w:r>
      <w:r>
        <w:rPr>
          <w:b/>
        </w:rPr>
        <w:t xml:space="preserve"> примарних извора права Е</w:t>
      </w:r>
      <w:r>
        <w:rPr>
          <w:b/>
          <w:lang w:val="sr-Cyrl-RS"/>
        </w:rPr>
        <w:t>вропске уније</w:t>
      </w:r>
      <w:r>
        <w:rPr>
          <w:b/>
          <w:lang w:val="sr-Cyrl-CS"/>
        </w:rPr>
        <w:t xml:space="preserve"> и оцене усклађености са њима</w:t>
      </w:r>
      <w:r>
        <w:rPr>
          <w:b/>
          <w:lang w:val="sr-Cyrl-RS"/>
        </w:rPr>
        <w:t>,</w:t>
      </w:r>
    </w:p>
    <w:p w:rsidR="00173CB1" w:rsidRDefault="00173CB1" w:rsidP="00173CB1">
      <w:pPr>
        <w:jc w:val="both"/>
        <w:rPr>
          <w:lang w:val="sr-Cyrl-CS"/>
        </w:rPr>
      </w:pPr>
      <w:r>
        <w:rPr>
          <w:lang w:val="sr-Cyrl-CS"/>
        </w:rPr>
        <w:t xml:space="preserve">- Уговор о функционисању Европске уније, Део трећи-Политике и унутрашње деловање Уније; Наслов </w:t>
      </w:r>
      <w:r>
        <w:t>II</w:t>
      </w:r>
      <w:r>
        <w:rPr>
          <w:lang w:val="sr-Cyrl-CS"/>
        </w:rPr>
        <w:t>. - Слободан проток робе, чл. 28. и 29</w:t>
      </w:r>
      <w:r>
        <w:rPr>
          <w:lang w:val="sr-Latn-CS"/>
        </w:rPr>
        <w:t xml:space="preserve">, са којом је </w:t>
      </w:r>
      <w:r>
        <w:rPr>
          <w:lang w:val="sr-Cyrl-CS"/>
        </w:rPr>
        <w:t>Предлог</w:t>
      </w:r>
      <w:r>
        <w:rPr>
          <w:lang w:val="sr-Latn-CS"/>
        </w:rPr>
        <w:t xml:space="preserve"> закона</w:t>
      </w:r>
      <w:r>
        <w:rPr>
          <w:lang w:val="sr-Cyrl-CS"/>
        </w:rPr>
        <w:t xml:space="preserve"> оизменама и допунама Закона о стандардизацији усклађен.</w:t>
      </w:r>
      <w:r>
        <w:rPr>
          <w:lang w:val="sr-Latn-CS"/>
        </w:rPr>
        <w:t xml:space="preserve"> </w:t>
      </w:r>
    </w:p>
    <w:p w:rsidR="00173CB1" w:rsidRDefault="00173CB1" w:rsidP="00173CB1">
      <w:pPr>
        <w:jc w:val="both"/>
        <w:rPr>
          <w:b/>
          <w:lang w:val="sr-Cyrl-CS"/>
        </w:rPr>
      </w:pPr>
      <w:r>
        <w:rPr>
          <w:b/>
        </w:rPr>
        <w:t xml:space="preserve">б) </w:t>
      </w:r>
      <w:r>
        <w:rPr>
          <w:b/>
          <w:lang w:val="sr-Cyrl-CS"/>
        </w:rPr>
        <w:t>Навођење</w:t>
      </w:r>
      <w:r>
        <w:rPr>
          <w:b/>
        </w:rPr>
        <w:t xml:space="preserve"> секундарних извора права Е</w:t>
      </w:r>
      <w:r>
        <w:rPr>
          <w:b/>
          <w:lang w:val="sr-Cyrl-RS"/>
        </w:rPr>
        <w:t xml:space="preserve">вропске уније </w:t>
      </w:r>
      <w:r>
        <w:rPr>
          <w:b/>
          <w:lang w:val="sr-Cyrl-CS"/>
        </w:rPr>
        <w:t>и оцене усклађености са њима,</w:t>
      </w:r>
    </w:p>
    <w:p w:rsidR="00173CB1" w:rsidRDefault="00173CB1" w:rsidP="00173CB1">
      <w:pPr>
        <w:jc w:val="both"/>
        <w:rPr>
          <w:lang w:val="sr-Cyrl-CS"/>
        </w:rPr>
      </w:pPr>
      <w:r>
        <w:rPr>
          <w:lang w:val="sr-Cyrl-CS"/>
        </w:rPr>
        <w:t xml:space="preserve">- Уредба 1025/2012 Европског парламента и Савета од 25. октобра 2012. године (У даљем тексту: Уредба 1025) </w:t>
      </w:r>
      <w:r>
        <w:rPr>
          <w:lang w:val="sr-Latn-CS"/>
        </w:rPr>
        <w:t xml:space="preserve">са којом је </w:t>
      </w:r>
      <w:r>
        <w:rPr>
          <w:lang w:val="sr-Cyrl-CS"/>
        </w:rPr>
        <w:t>Предлог</w:t>
      </w:r>
      <w:r>
        <w:rPr>
          <w:lang w:val="sr-Latn-CS"/>
        </w:rPr>
        <w:t xml:space="preserve"> закона</w:t>
      </w:r>
      <w:r>
        <w:rPr>
          <w:lang w:val="sr-Cyrl-CS"/>
        </w:rPr>
        <w:t xml:space="preserve"> о</w:t>
      </w:r>
      <w:r>
        <w:rPr>
          <w:lang w:val="sr-Latn-CS"/>
        </w:rPr>
        <w:t xml:space="preserve"> </w:t>
      </w:r>
      <w:r>
        <w:rPr>
          <w:lang w:val="sr-Cyrl-CS"/>
        </w:rPr>
        <w:t>изменама и допунама Закона о стандардизацији делимично усклађен.</w:t>
      </w:r>
      <w:r>
        <w:rPr>
          <w:lang w:val="sr-Latn-CS"/>
        </w:rPr>
        <w:t xml:space="preserve"> </w:t>
      </w:r>
    </w:p>
    <w:p w:rsidR="00173CB1" w:rsidRDefault="00173CB1" w:rsidP="00173CB1">
      <w:pPr>
        <w:jc w:val="both"/>
        <w:rPr>
          <w:lang w:val="sr-Cyrl-CS"/>
        </w:rPr>
      </w:pPr>
    </w:p>
    <w:p w:rsidR="00173CB1" w:rsidRDefault="00173CB1" w:rsidP="00173CB1">
      <w:pPr>
        <w:jc w:val="both"/>
        <w:rPr>
          <w:b/>
          <w:lang w:val="sr-Cyrl-CS"/>
        </w:rPr>
      </w:pPr>
      <w:r>
        <w:rPr>
          <w:b/>
          <w:lang w:val="sr-Cyrl-CS"/>
        </w:rPr>
        <w:t>в</w:t>
      </w:r>
      <w:r>
        <w:rPr>
          <w:b/>
        </w:rPr>
        <w:t xml:space="preserve">) </w:t>
      </w:r>
      <w:r>
        <w:rPr>
          <w:b/>
          <w:lang w:val="sr-Cyrl-CS"/>
        </w:rPr>
        <w:t>Навођење осталих извора права Европске уније и усклађенст са њима,</w:t>
      </w:r>
    </w:p>
    <w:p w:rsidR="00173CB1" w:rsidRDefault="00173CB1" w:rsidP="00173CB1">
      <w:pPr>
        <w:jc w:val="both"/>
        <w:rPr>
          <w:lang w:val="sr-Cyrl-CS"/>
        </w:rPr>
      </w:pPr>
      <w:r>
        <w:rPr>
          <w:lang w:val="sr-Cyrl-CS"/>
        </w:rPr>
        <w:t>/</w:t>
      </w:r>
    </w:p>
    <w:p w:rsidR="00173CB1" w:rsidRDefault="00173CB1" w:rsidP="00173CB1">
      <w:pPr>
        <w:jc w:val="both"/>
        <w:rPr>
          <w:lang w:val="sr-Cyrl-CS"/>
        </w:rPr>
      </w:pPr>
      <w:r>
        <w:rPr>
          <w:b/>
          <w:lang w:val="sr-Cyrl-CS"/>
        </w:rPr>
        <w:t>г</w:t>
      </w:r>
      <w:r>
        <w:rPr>
          <w:b/>
        </w:rPr>
        <w:t xml:space="preserve">) </w:t>
      </w:r>
      <w:r>
        <w:rPr>
          <w:b/>
          <w:lang w:val="sr-Cyrl-CS"/>
        </w:rPr>
        <w:t>Р</w:t>
      </w:r>
      <w:r>
        <w:rPr>
          <w:b/>
        </w:rPr>
        <w:t>азлози за дел</w:t>
      </w:r>
      <w:r>
        <w:rPr>
          <w:b/>
          <w:lang w:val="sr-Cyrl-CS"/>
        </w:rPr>
        <w:t>и</w:t>
      </w:r>
      <w:r>
        <w:rPr>
          <w:b/>
        </w:rPr>
        <w:t>мичну усклађеност</w:t>
      </w:r>
      <w:r>
        <w:rPr>
          <w:b/>
          <w:lang w:val="sr-Cyrl-CS"/>
        </w:rPr>
        <w:t>,</w:t>
      </w:r>
      <w:r>
        <w:rPr>
          <w:b/>
        </w:rPr>
        <w:t xml:space="preserve"> односно неусклађеност</w:t>
      </w:r>
      <w:r>
        <w:rPr>
          <w:lang w:val="sr-Cyrl-RS"/>
        </w:rPr>
        <w:t>,</w:t>
      </w:r>
    </w:p>
    <w:p w:rsidR="00173CB1" w:rsidRDefault="00173CB1" w:rsidP="00173CB1">
      <w:pPr>
        <w:ind w:firstLine="709"/>
        <w:jc w:val="both"/>
        <w:rPr>
          <w:lang w:val="sr-Cyrl-CS"/>
        </w:rPr>
      </w:pPr>
      <w:r>
        <w:rPr>
          <w:lang w:val="sr-Cyrl-CS"/>
        </w:rPr>
        <w:t>Предлог закона о изменама и допунама Закона о стандардизацији је делимично усклађен са Уредбом 1025</w:t>
      </w:r>
      <w:r>
        <w:rPr>
          <w:lang w:val="sr-Latn-CS"/>
        </w:rPr>
        <w:t>.</w:t>
      </w:r>
      <w:r>
        <w:t xml:space="preserve">  </w:t>
      </w:r>
      <w:r>
        <w:rPr>
          <w:lang w:val="sr-Cyrl-CS"/>
        </w:rPr>
        <w:t xml:space="preserve">Разлози </w:t>
      </w:r>
      <w:r>
        <w:rPr>
          <w:lang w:val="sr-Latn-CS"/>
        </w:rPr>
        <w:t>з</w:t>
      </w:r>
      <w:r>
        <w:rPr>
          <w:lang w:val="sr-Cyrl-CS"/>
        </w:rPr>
        <w:t>а делимичну усклађеност Предлога закона о изменама и допунама Закона о стандардизацији са Уредбом 1025 су првенствено правне природе.</w:t>
      </w:r>
    </w:p>
    <w:p w:rsidR="00173CB1" w:rsidRDefault="00173CB1" w:rsidP="00173CB1">
      <w:pPr>
        <w:ind w:firstLine="709"/>
        <w:jc w:val="both"/>
        <w:rPr>
          <w:lang w:val="sr-Latn-CS"/>
        </w:rPr>
      </w:pPr>
      <w:r>
        <w:rPr>
          <w:lang w:val="sr-Cyrl-CS"/>
        </w:rPr>
        <w:lastRenderedPageBreak/>
        <w:t xml:space="preserve">Поједине одредбе наведене уредбе односе се на права и обавезе које могу испунити само државе чланице ЕУ, као што је пријављивање националног тела за стандардизацију. Предлогом закона о изменама и допунама Закона о стандардизацији Институт је одређен за једино национално тело за стандардизацију у Републици Србији и дефинисано је да ће </w:t>
      </w:r>
      <w:r>
        <w:t>министарство надлежно за послове стандардизациј</w:t>
      </w:r>
      <w:r>
        <w:rPr>
          <w:lang w:val="sr-Cyrl-RS"/>
        </w:rPr>
        <w:t>е</w:t>
      </w:r>
      <w:r>
        <w:rPr>
          <w:lang w:val="sr-Cyrl-CS"/>
        </w:rPr>
        <w:t xml:space="preserve"> давати</w:t>
      </w:r>
      <w:r>
        <w:rPr>
          <w:lang w:val="sr-Cyrl-RS"/>
        </w:rPr>
        <w:t xml:space="preserve"> међународним и другим организацијама, обавештења и информације о националном телу за стандардизацију у </w:t>
      </w:r>
      <w:r>
        <w:rPr>
          <w:lang w:val="sr-Cyrl-CS"/>
        </w:rPr>
        <w:t>Р</w:t>
      </w:r>
      <w:r>
        <w:rPr>
          <w:lang w:val="sr-Cyrl-RS"/>
        </w:rPr>
        <w:t xml:space="preserve">епублици </w:t>
      </w:r>
      <w:r>
        <w:rPr>
          <w:lang w:val="sr-Cyrl-CS"/>
        </w:rPr>
        <w:t>С</w:t>
      </w:r>
      <w:r>
        <w:rPr>
          <w:lang w:val="sr-Cyrl-RS"/>
        </w:rPr>
        <w:t>рбији, у складу са посебним прописом.</w:t>
      </w:r>
      <w:r>
        <w:rPr>
          <w:lang w:val="sr-Cyrl-CS"/>
        </w:rPr>
        <w:t xml:space="preserve"> Овим је одређен државни орган и створен основ да Република Србија испуни и ову обавезу одмах након потврђивања споразума о њеном чланству у ЕУ.</w:t>
      </w:r>
    </w:p>
    <w:p w:rsidR="00173CB1" w:rsidRDefault="00173CB1" w:rsidP="00173CB1">
      <w:pPr>
        <w:ind w:firstLine="708"/>
        <w:jc w:val="both"/>
        <w:rPr>
          <w:lang w:val="sr-Cyrl-CS"/>
        </w:rPr>
      </w:pPr>
      <w:r>
        <w:rPr>
          <w:lang w:val="sr-Cyrl-CS"/>
        </w:rPr>
        <w:t>Одредбе наведене уредбе које се односе на пријављивање и начин информисања о стандардима нису пренете у овај закон јер је законом којим се уређују технички прописи и оцењивање усаглашености прописано да се та питања уређују актом који на основу тог закона доноси Влада. Тако су наведена питања уређена Уредбом о поступку пријављивања и начину информисања који се односе на техничке прописе, оцењивање усаглашености и стандарде („Службени гласник РС”, број 45/10) која је у време доношења била у потпуности усклађена са европском регулативом која се односи на ову материју.</w:t>
      </w:r>
    </w:p>
    <w:p w:rsidR="00173CB1" w:rsidRDefault="00173CB1" w:rsidP="00173CB1">
      <w:pPr>
        <w:ind w:firstLine="708"/>
        <w:jc w:val="both"/>
        <w:rPr>
          <w:lang w:val="sr-Cyrl-CS"/>
        </w:rPr>
      </w:pPr>
      <w:r>
        <w:rPr>
          <w:lang w:val="en-GB"/>
        </w:rPr>
        <w:t>Ta</w:t>
      </w:r>
      <w:r>
        <w:rPr>
          <w:lang w:val="sr-Cyrl-CS"/>
        </w:rPr>
        <w:t xml:space="preserve">кође, поједини чланови уредбе односе се на поједине фазе израде, доношења и обавештавања о стандардима, као и </w:t>
      </w:r>
      <w:r>
        <w:rPr>
          <w:lang w:val="en-GB"/>
        </w:rPr>
        <w:t>o</w:t>
      </w:r>
      <w:r>
        <w:rPr>
          <w:lang w:val="sr-Cyrl-CS"/>
        </w:rPr>
        <w:t xml:space="preserve">лакшан приступ заинтересованих страна (посебно наглашавајући мала и средња привредна друштва) процесу стандардизације, а у складу са правним системом Републике Србије, овим законом предвиђено је да се та питања ближе уреде подзаконским актом овог закона. </w:t>
      </w:r>
    </w:p>
    <w:p w:rsidR="00173CB1" w:rsidRDefault="00173CB1" w:rsidP="00173CB1">
      <w:pPr>
        <w:ind w:firstLine="708"/>
        <w:jc w:val="both"/>
        <w:rPr>
          <w:lang w:val="sr-Cyrl-CS"/>
        </w:rPr>
      </w:pPr>
      <w:r>
        <w:rPr>
          <w:lang w:val="sr-Cyrl-CS"/>
        </w:rPr>
        <w:t>Поједине одредбе наведене уредбе нису пренете у овај нацрт закон јер се њима  детаљно прописују одређена права, начин финансирања, као и обавезе Европске комисије и европских организација за стандардизацију, па оне као такве не могу ни бити транспоноване у национално законодавство.</w:t>
      </w:r>
    </w:p>
    <w:p w:rsidR="00173CB1" w:rsidRDefault="00173CB1" w:rsidP="00173CB1">
      <w:pPr>
        <w:ind w:firstLine="708"/>
        <w:jc w:val="both"/>
        <w:rPr>
          <w:lang w:val="sr-Cyrl-CS"/>
        </w:rPr>
      </w:pPr>
    </w:p>
    <w:p w:rsidR="00173CB1" w:rsidRDefault="00173CB1" w:rsidP="00173CB1">
      <w:pPr>
        <w:jc w:val="both"/>
        <w:rPr>
          <w:b/>
          <w:lang w:val="sr-Cyrl-CS"/>
        </w:rPr>
      </w:pPr>
      <w:r>
        <w:rPr>
          <w:b/>
          <w:lang w:val="sr-Cyrl-CS"/>
        </w:rPr>
        <w:t>д</w:t>
      </w:r>
      <w:r>
        <w:rPr>
          <w:b/>
        </w:rPr>
        <w:t>)</w:t>
      </w:r>
      <w:r>
        <w:rPr>
          <w:b/>
          <w:lang w:val="sr-Cyrl-CS"/>
        </w:rPr>
        <w:t xml:space="preserve"> Р</w:t>
      </w:r>
      <w:r>
        <w:rPr>
          <w:b/>
        </w:rPr>
        <w:t xml:space="preserve">ок у којем је предвиђено постизање потпуне усклађености </w:t>
      </w:r>
      <w:r>
        <w:rPr>
          <w:b/>
          <w:lang w:val="sr-Cyrl-CS"/>
        </w:rPr>
        <w:t>прописа</w:t>
      </w:r>
      <w:r>
        <w:rPr>
          <w:b/>
        </w:rPr>
        <w:t xml:space="preserve"> с</w:t>
      </w:r>
      <w:r>
        <w:rPr>
          <w:b/>
          <w:lang w:val="sr-Cyrl-CS"/>
        </w:rPr>
        <w:t>а прописима Европске уније.</w:t>
      </w:r>
    </w:p>
    <w:p w:rsidR="00173CB1" w:rsidRDefault="00173CB1" w:rsidP="00173CB1">
      <w:pPr>
        <w:jc w:val="both"/>
        <w:rPr>
          <w:lang w:val="sr-Cyrl-CS"/>
        </w:rPr>
      </w:pPr>
    </w:p>
    <w:p w:rsidR="00173CB1" w:rsidRDefault="00173CB1" w:rsidP="00173CB1">
      <w:pPr>
        <w:jc w:val="both"/>
        <w:rPr>
          <w:lang w:val="sr-Cyrl-CS"/>
        </w:rPr>
      </w:pPr>
      <w:r>
        <w:rPr>
          <w:lang w:val="sr-Cyrl-CS"/>
        </w:rPr>
        <w:t xml:space="preserve">- За усклађивање Одлуке </w:t>
      </w:r>
      <w:r>
        <w:t xml:space="preserve">о оснивању Института за стандардизацију Србије </w:t>
      </w:r>
      <w:r>
        <w:rPr>
          <w:lang w:val="sr-Cyrl-CS"/>
        </w:rPr>
        <w:t xml:space="preserve">са одредбама Предлога закона о изменама и допунама Закона о стандардизацији предвиђен је рок од 6 месеци од дана ступања на снагу тог закона. Наведеном одлуком дефинисаће се рок од годину дана у коме ће се интерним актом Института између осталог уредити питања која се односе на поједине фазе израде, доношења и обавештавања о стандардима, као и </w:t>
      </w:r>
      <w:r>
        <w:rPr>
          <w:lang w:val="en-GB"/>
        </w:rPr>
        <w:t>o</w:t>
      </w:r>
      <w:r>
        <w:rPr>
          <w:lang w:val="sr-Cyrl-CS"/>
        </w:rPr>
        <w:t>лакшан приступ заинтересованих страна (посебно наглашавајући мала и средња привредна друштва) овим фазама и извршити потпуно усклађивање са одредбама Уредбе 1025 које се односе на ова питања.</w:t>
      </w:r>
    </w:p>
    <w:p w:rsidR="00173CB1" w:rsidRDefault="00173CB1" w:rsidP="00173CB1">
      <w:pPr>
        <w:jc w:val="both"/>
        <w:rPr>
          <w:lang w:val="sr-Cyrl-CS"/>
        </w:rPr>
      </w:pPr>
      <w:r>
        <w:rPr>
          <w:lang w:val="sr-Cyrl-CS"/>
        </w:rPr>
        <w:lastRenderedPageBreak/>
        <w:t xml:space="preserve"> </w:t>
      </w:r>
      <w:r>
        <w:rPr>
          <w:lang w:val="sr-Cyrl-CS"/>
        </w:rPr>
        <w:tab/>
        <w:t>Уредбом о поступку пријављивања и начину информисања који се односе на техничке прописе, оцењивање усаглашености и стандарде („Службени гласник РС”, број 45/10 – у даљем тексту Уредба о пријављивању), између осталог, уређено је пријављивање и начин информисања који се односи на стандарде. Овом уредбом је извршено потпуно усклађивање са тада важећом европском регулативом у области пријављивања и информисања које односи на техничке прописе, оцењивање усаглашености и стандарде. Прелазним и завршним одредбама наведене уредбе прописано је и да ће Република Србија испуњавати обавезе, које могу да испуне искључиво државе чланице ЕУ, даном приступања.</w:t>
      </w:r>
    </w:p>
    <w:p w:rsidR="00173CB1" w:rsidRDefault="00173CB1" w:rsidP="00173CB1">
      <w:pPr>
        <w:ind w:firstLine="708"/>
        <w:jc w:val="both"/>
        <w:rPr>
          <w:lang w:val="sr-Cyrl-CS"/>
        </w:rPr>
      </w:pPr>
      <w:r>
        <w:rPr>
          <w:lang w:val="sr-Cyrl-CS"/>
        </w:rPr>
        <w:t>Имајући у виду да је ова уредба у време њеног доношења у потупности била усклађена са европским правилима и регулативом у овој области, као и да су та правила односно регулатива делимично измењени европском Уредбом 1025, потпуно усклађивање са Уредбом 1025 биће извршено у року од годину дана од дана ступања на снагу овог закона.</w:t>
      </w:r>
    </w:p>
    <w:p w:rsidR="00173CB1" w:rsidRDefault="00173CB1" w:rsidP="00173CB1">
      <w:pPr>
        <w:ind w:firstLine="708"/>
        <w:jc w:val="both"/>
        <w:rPr>
          <w:i/>
          <w:lang w:val="sr-Cyrl-CS"/>
        </w:rPr>
      </w:pPr>
    </w:p>
    <w:p w:rsidR="00173CB1" w:rsidRDefault="00173CB1" w:rsidP="00173CB1">
      <w:pPr>
        <w:jc w:val="both"/>
        <w:rPr>
          <w:b/>
          <w:lang w:val="ru-RU"/>
        </w:rPr>
      </w:pPr>
      <w:r>
        <w:rPr>
          <w:b/>
          <w:lang w:val="sr-Cyrl-CS"/>
        </w:rPr>
        <w:t>5</w:t>
      </w:r>
      <w:r>
        <w:rPr>
          <w:b/>
          <w:lang w:val="ru-RU"/>
        </w:rPr>
        <w:t xml:space="preserve">.  Уколико не постоје одговарајуће надлежности Европске уније у материји коју регулише пропис, и/или не постоје одговарајући секундарни извори права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173CB1" w:rsidRDefault="00173CB1" w:rsidP="00173CB1">
      <w:pPr>
        <w:jc w:val="both"/>
        <w:rPr>
          <w:lang w:val="sr-Cyrl-CS"/>
        </w:rPr>
      </w:pPr>
      <w:r>
        <w:rPr>
          <w:lang w:val="sr-Cyrl-CS"/>
        </w:rPr>
        <w:t>/</w:t>
      </w:r>
    </w:p>
    <w:p w:rsidR="00173CB1" w:rsidRDefault="00173CB1" w:rsidP="00173CB1">
      <w:pPr>
        <w:jc w:val="both"/>
        <w:rPr>
          <w:b/>
          <w:lang w:val="hr-HR"/>
        </w:rPr>
      </w:pPr>
      <w:r>
        <w:rPr>
          <w:b/>
          <w:lang w:val="sr-Cyrl-CS"/>
        </w:rPr>
        <w:t>6</w:t>
      </w:r>
      <w:r>
        <w:rPr>
          <w:b/>
        </w:rPr>
        <w:t xml:space="preserve">. </w:t>
      </w:r>
      <w:r>
        <w:rPr>
          <w:b/>
          <w:lang w:val="sr-Cyrl-CS"/>
        </w:rPr>
        <w:t xml:space="preserve">Да </w:t>
      </w:r>
      <w:r>
        <w:rPr>
          <w:b/>
        </w:rPr>
        <w:t>ли</w:t>
      </w:r>
      <w:r>
        <w:rPr>
          <w:b/>
          <w:lang w:val="sr-Cyrl-CS"/>
        </w:rPr>
        <w:t xml:space="preserve"> су претходно</w:t>
      </w:r>
      <w:r>
        <w:rPr>
          <w:b/>
        </w:rPr>
        <w:t xml:space="preserve"> наведени извори права Е</w:t>
      </w:r>
      <w:r>
        <w:rPr>
          <w:b/>
          <w:lang w:val="sr-Cyrl-RS"/>
        </w:rPr>
        <w:t xml:space="preserve">вропске уније </w:t>
      </w:r>
      <w:r>
        <w:rPr>
          <w:b/>
        </w:rPr>
        <w:t xml:space="preserve">преведени на </w:t>
      </w:r>
      <w:r>
        <w:rPr>
          <w:b/>
          <w:lang w:val="sr-Cyrl-CS"/>
        </w:rPr>
        <w:t>срп</w:t>
      </w:r>
      <w:r>
        <w:rPr>
          <w:b/>
        </w:rPr>
        <w:t>ски језик?</w:t>
      </w:r>
    </w:p>
    <w:p w:rsidR="00173CB1" w:rsidRDefault="00173CB1" w:rsidP="00173CB1">
      <w:pPr>
        <w:jc w:val="both"/>
        <w:rPr>
          <w:lang w:val="sr-Cyrl-CS"/>
        </w:rPr>
      </w:pPr>
      <w:r>
        <w:rPr>
          <w:lang w:val="sr-Cyrl-CS"/>
        </w:rPr>
        <w:t>- Нису.</w:t>
      </w:r>
    </w:p>
    <w:p w:rsidR="00173CB1" w:rsidRDefault="00173CB1" w:rsidP="00173CB1">
      <w:pPr>
        <w:jc w:val="both"/>
        <w:rPr>
          <w:lang w:val="sr-Cyrl-CS"/>
        </w:rPr>
      </w:pPr>
    </w:p>
    <w:p w:rsidR="00173CB1" w:rsidRDefault="00173CB1" w:rsidP="00173CB1">
      <w:pPr>
        <w:jc w:val="both"/>
        <w:rPr>
          <w:b/>
          <w:lang w:val="sr-Cyrl-CS"/>
        </w:rPr>
      </w:pPr>
      <w:r>
        <w:rPr>
          <w:b/>
          <w:lang w:val="sr-Cyrl-CS"/>
        </w:rPr>
        <w:t>7</w:t>
      </w:r>
      <w:r>
        <w:rPr>
          <w:b/>
        </w:rPr>
        <w:t xml:space="preserve">. </w:t>
      </w:r>
      <w:r>
        <w:rPr>
          <w:b/>
          <w:lang w:val="sr-Cyrl-CS"/>
        </w:rPr>
        <w:t>Да ли је</w:t>
      </w:r>
      <w:r>
        <w:rPr>
          <w:b/>
        </w:rPr>
        <w:t xml:space="preserve"> пропис преведен на неки службени језик Е</w:t>
      </w:r>
      <w:r>
        <w:rPr>
          <w:b/>
          <w:lang w:val="sr-Cyrl-RS"/>
        </w:rPr>
        <w:t>вропске уније</w:t>
      </w:r>
      <w:r>
        <w:rPr>
          <w:b/>
        </w:rPr>
        <w:t>?</w:t>
      </w:r>
    </w:p>
    <w:p w:rsidR="00173CB1" w:rsidRDefault="00173CB1" w:rsidP="00173CB1">
      <w:pPr>
        <w:jc w:val="both"/>
        <w:rPr>
          <w:lang w:val="sr-Cyrl-CS"/>
        </w:rPr>
      </w:pPr>
      <w:r>
        <w:rPr>
          <w:lang w:val="sr-Cyrl-CS"/>
        </w:rPr>
        <w:t>- Јесте.</w:t>
      </w:r>
    </w:p>
    <w:p w:rsidR="00173CB1" w:rsidRDefault="00173CB1" w:rsidP="00173CB1">
      <w:pPr>
        <w:jc w:val="both"/>
        <w:rPr>
          <w:lang w:val="hr-HR"/>
        </w:rPr>
      </w:pPr>
    </w:p>
    <w:p w:rsidR="00173CB1" w:rsidRDefault="00173CB1" w:rsidP="00173CB1">
      <w:pPr>
        <w:jc w:val="both"/>
        <w:rPr>
          <w:b/>
          <w:lang w:val="sr-Cyrl-CS"/>
        </w:rPr>
      </w:pPr>
      <w:r>
        <w:rPr>
          <w:b/>
          <w:lang w:val="sr-Cyrl-CS"/>
        </w:rPr>
        <w:t>8</w:t>
      </w:r>
      <w:r>
        <w:rPr>
          <w:b/>
        </w:rPr>
        <w:t xml:space="preserve">. </w:t>
      </w:r>
      <w:r>
        <w:rPr>
          <w:b/>
          <w:lang w:val="sr-Cyrl-CS"/>
        </w:rPr>
        <w:t>Учешће</w:t>
      </w:r>
      <w:r>
        <w:rPr>
          <w:b/>
        </w:rPr>
        <w:t xml:space="preserve"> кон</w:t>
      </w:r>
      <w:r>
        <w:rPr>
          <w:b/>
          <w:lang w:val="sr-Cyrl-CS"/>
        </w:rPr>
        <w:t>с</w:t>
      </w:r>
      <w:r>
        <w:rPr>
          <w:b/>
        </w:rPr>
        <w:t>ултаната у изради прописа</w:t>
      </w:r>
      <w:r>
        <w:rPr>
          <w:b/>
          <w:lang w:val="sr-Cyrl-CS"/>
        </w:rPr>
        <w:t xml:space="preserve"> </w:t>
      </w:r>
      <w:r>
        <w:rPr>
          <w:b/>
        </w:rPr>
        <w:t>и њихово мишљење о усклађености</w:t>
      </w:r>
    </w:p>
    <w:p w:rsidR="00173CB1" w:rsidRDefault="00173CB1" w:rsidP="00173CB1">
      <w:pPr>
        <w:pStyle w:val="Header"/>
        <w:jc w:val="both"/>
        <w:rPr>
          <w:lang w:val="sr-Cyrl-CS"/>
        </w:rPr>
      </w:pPr>
      <w:r>
        <w:rPr>
          <w:lang w:val="en-GB"/>
        </w:rPr>
        <w:tab/>
      </w:r>
      <w:r>
        <w:rPr>
          <w:lang w:val="sr-Cyrl-CS"/>
        </w:rPr>
        <w:t>- Текст Нацрта закона је 20. октобра 2014. године електронском поштом достављен Канцеларији за европске интеграције, ради прибављања мишљења од Европске комисије.</w:t>
      </w:r>
    </w:p>
    <w:p w:rsidR="00173CB1" w:rsidRDefault="00173CB1" w:rsidP="00173CB1">
      <w:pPr>
        <w:pStyle w:val="Header"/>
        <w:jc w:val="both"/>
        <w:rPr>
          <w:lang w:val="sr-Cyrl-CS"/>
        </w:rPr>
      </w:pPr>
      <w:r>
        <w:rPr>
          <w:lang w:val="sr-Cyrl-CS"/>
        </w:rPr>
        <w:lastRenderedPageBreak/>
        <w:t xml:space="preserve">- Дана 8. децембра 2014. године електронском поштом, преко Канцеларије за европске интеграције, приспело је мишљење Европске комисије на текст Нацрта закона. </w:t>
      </w:r>
    </w:p>
    <w:p w:rsidR="0017553A" w:rsidRDefault="00173CB1" w:rsidP="0017553A">
      <w:pPr>
        <w:pStyle w:val="Header"/>
        <w:jc w:val="both"/>
        <w:rPr>
          <w:lang w:val="sr-Cyrl-CS"/>
        </w:rPr>
        <w:sectPr w:rsidR="0017553A" w:rsidSect="0096434D">
          <w:headerReference w:type="default" r:id="rId12"/>
          <w:footerReference w:type="default" r:id="rId13"/>
          <w:pgSz w:w="12240" w:h="15840"/>
          <w:pgMar w:top="1134" w:right="1134" w:bottom="1134" w:left="1134" w:header="709" w:footer="709" w:gutter="0"/>
          <w:cols w:space="708"/>
          <w:titlePg/>
          <w:docGrid w:linePitch="360"/>
        </w:sectPr>
      </w:pPr>
      <w:r>
        <w:rPr>
          <w:lang w:val="sr-Cyrl-CS"/>
        </w:rPr>
        <w:t xml:space="preserve">- Министарство привреде је део примедби Европске комисије на текст Нацрта закона прихватило и уградило у текст Нацрта закона, док ће </w:t>
      </w:r>
      <w:r>
        <w:rPr>
          <w:lang w:val="sr-Cyrl-ME"/>
        </w:rPr>
        <w:t xml:space="preserve">остале примедбе бити прихваћене и уграђене у подзаконска акта о чему је Европска комисија обавештена </w:t>
      </w:r>
      <w:r>
        <w:rPr>
          <w:lang w:val="sr-Cyrl-CS"/>
        </w:rPr>
        <w:t>преко Канце</w:t>
      </w:r>
      <w:r w:rsidR="007F1921">
        <w:rPr>
          <w:lang w:val="sr-Cyrl-CS"/>
        </w:rPr>
        <w:t>ларије за европске интеграције.</w:t>
      </w:r>
    </w:p>
    <w:tbl>
      <w:tblPr>
        <w:tblpPr w:leftFromText="180" w:rightFromText="180" w:horzAnchor="margin" w:tblpXSpec="center" w:tblpY="-542"/>
        <w:tblW w:w="16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8"/>
        <w:gridCol w:w="1371"/>
        <w:gridCol w:w="47"/>
        <w:gridCol w:w="4536"/>
        <w:gridCol w:w="993"/>
        <w:gridCol w:w="3827"/>
        <w:gridCol w:w="992"/>
        <w:gridCol w:w="389"/>
        <w:gridCol w:w="2021"/>
        <w:gridCol w:w="1796"/>
      </w:tblGrid>
      <w:tr w:rsidR="0017553A" w:rsidTr="0017553A">
        <w:trPr>
          <w:gridBefore w:val="1"/>
          <w:wBefore w:w="259" w:type="dxa"/>
          <w:trHeight w:val="356"/>
        </w:trPr>
        <w:tc>
          <w:tcPr>
            <w:tcW w:w="1418"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ind w:right="-499"/>
              <w:rPr>
                <w:sz w:val="20"/>
                <w:szCs w:val="20"/>
                <w:lang w:val="sr-Cyrl-CS" w:eastAsia="en-GB"/>
              </w:rPr>
            </w:pPr>
          </w:p>
        </w:tc>
        <w:tc>
          <w:tcPr>
            <w:tcW w:w="10737" w:type="dxa"/>
            <w:gridSpan w:val="5"/>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en-GB" w:eastAsia="en-GB"/>
              </w:rPr>
            </w:pPr>
            <w:r>
              <w:rPr>
                <w:sz w:val="20"/>
                <w:szCs w:val="20"/>
                <w:lang w:val="sr-Cyrl-CS" w:eastAsia="en-GB"/>
              </w:rPr>
              <w:t>1.Назив прописа ЕУ</w:t>
            </w:r>
          </w:p>
          <w:p w:rsidR="0017553A" w:rsidRDefault="0017553A">
            <w:pPr>
              <w:rPr>
                <w:sz w:val="20"/>
                <w:szCs w:val="20"/>
                <w:lang w:eastAsia="en-GB"/>
              </w:rPr>
            </w:pPr>
            <w:r>
              <w:rPr>
                <w:sz w:val="20"/>
                <w:szCs w:val="20"/>
                <w:lang w:val="sr-Cyrl-CS" w:eastAsia="en-GB"/>
              </w:rPr>
              <w:t>Уред</w:t>
            </w:r>
            <w:r>
              <w:rPr>
                <w:sz w:val="20"/>
                <w:szCs w:val="20"/>
                <w:lang w:eastAsia="en-GB"/>
              </w:rPr>
              <w:t xml:space="preserve">ба бр. 1025/2012 </w:t>
            </w:r>
            <w:r>
              <w:rPr>
                <w:sz w:val="20"/>
                <w:szCs w:val="20"/>
                <w:lang w:val="sr-Cyrl-CS" w:eastAsia="en-GB"/>
              </w:rPr>
              <w:t>Е</w:t>
            </w:r>
            <w:r>
              <w:rPr>
                <w:sz w:val="20"/>
                <w:szCs w:val="20"/>
                <w:lang w:eastAsia="en-GB"/>
              </w:rPr>
              <w:t xml:space="preserve">вропског парламента и </w:t>
            </w:r>
            <w:r>
              <w:rPr>
                <w:sz w:val="20"/>
                <w:szCs w:val="20"/>
                <w:lang w:val="sr-Cyrl-CS" w:eastAsia="en-GB"/>
              </w:rPr>
              <w:t>С</w:t>
            </w:r>
            <w:r>
              <w:rPr>
                <w:sz w:val="20"/>
                <w:szCs w:val="20"/>
                <w:lang w:eastAsia="en-GB"/>
              </w:rPr>
              <w:t xml:space="preserve">авета од 25. октобра 2012. године  о европској стандардизацији, која допуњује и мења директиве </w:t>
            </w:r>
            <w:r>
              <w:rPr>
                <w:sz w:val="20"/>
                <w:szCs w:val="20"/>
                <w:lang w:val="sr-Cyrl-CS" w:eastAsia="en-GB"/>
              </w:rPr>
              <w:t>С</w:t>
            </w:r>
            <w:r>
              <w:rPr>
                <w:sz w:val="20"/>
                <w:szCs w:val="20"/>
                <w:lang w:eastAsia="en-GB"/>
              </w:rPr>
              <w:t xml:space="preserve">авета 89/686/EEC и 93/15/EEC и директиве 94/9/EC, 94/25/EC, 95/16/EC, 97/23/EC, 98/34/EC, 2004/22/EC, 2007/23/EC, 2009/23/EC и 2009/105/EC </w:t>
            </w:r>
            <w:r>
              <w:rPr>
                <w:sz w:val="20"/>
                <w:szCs w:val="20"/>
                <w:lang w:val="sr-Cyrl-CS" w:eastAsia="en-GB"/>
              </w:rPr>
              <w:t>Е</w:t>
            </w:r>
            <w:r>
              <w:rPr>
                <w:sz w:val="20"/>
                <w:szCs w:val="20"/>
                <w:lang w:eastAsia="en-GB"/>
              </w:rPr>
              <w:t xml:space="preserve">вропског парламента и </w:t>
            </w:r>
            <w:r>
              <w:rPr>
                <w:sz w:val="20"/>
                <w:szCs w:val="20"/>
                <w:lang w:val="sr-Cyrl-CS" w:eastAsia="en-GB"/>
              </w:rPr>
              <w:t>С</w:t>
            </w:r>
            <w:r>
              <w:rPr>
                <w:sz w:val="20"/>
                <w:szCs w:val="20"/>
                <w:lang w:eastAsia="en-GB"/>
              </w:rPr>
              <w:t xml:space="preserve">авета и којом престаје да важи одлука 1673/2006/EC </w:t>
            </w:r>
            <w:r>
              <w:rPr>
                <w:sz w:val="20"/>
                <w:szCs w:val="20"/>
                <w:lang w:val="sr-Cyrl-CS" w:eastAsia="en-GB"/>
              </w:rPr>
              <w:t>Ев</w:t>
            </w:r>
            <w:r>
              <w:rPr>
                <w:sz w:val="20"/>
                <w:szCs w:val="20"/>
                <w:lang w:eastAsia="en-GB"/>
              </w:rPr>
              <w:t xml:space="preserve">ропског парламента и </w:t>
            </w:r>
            <w:r>
              <w:rPr>
                <w:sz w:val="20"/>
                <w:szCs w:val="20"/>
                <w:lang w:val="sr-Cyrl-CS" w:eastAsia="en-GB"/>
              </w:rPr>
              <w:t>С</w:t>
            </w:r>
            <w:r>
              <w:rPr>
                <w:sz w:val="20"/>
                <w:szCs w:val="20"/>
                <w:lang w:eastAsia="en-GB"/>
              </w:rPr>
              <w:t>авета (</w:t>
            </w:r>
            <w:r>
              <w:rPr>
                <w:sz w:val="20"/>
                <w:szCs w:val="20"/>
                <w:lang w:val="sr-Cyrl-CS" w:eastAsia="en-GB"/>
              </w:rPr>
              <w:t>„Службени лист Европске Уније”, број</w:t>
            </w:r>
            <w:r>
              <w:rPr>
                <w:rStyle w:val="Emphasis"/>
                <w:sz w:val="20"/>
                <w:szCs w:val="20"/>
              </w:rPr>
              <w:t xml:space="preserve"> L 316</w:t>
            </w:r>
            <w:r>
              <w:rPr>
                <w:sz w:val="20"/>
                <w:szCs w:val="20"/>
                <w:lang w:eastAsia="en-GB"/>
              </w:rPr>
              <w:t>)</w:t>
            </w:r>
          </w:p>
          <w:p w:rsidR="0017553A" w:rsidRDefault="0017553A">
            <w:pPr>
              <w:spacing w:after="0"/>
              <w:rPr>
                <w:sz w:val="20"/>
                <w:szCs w:val="20"/>
                <w:lang w:val="sr-Cyrl-CS" w:eastAsia="en-GB"/>
              </w:rPr>
            </w:pPr>
          </w:p>
        </w:tc>
        <w:tc>
          <w:tcPr>
            <w:tcW w:w="3817" w:type="dxa"/>
            <w:gridSpan w:val="2"/>
            <w:vMerge w:val="restart"/>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r>
              <w:rPr>
                <w:sz w:val="20"/>
                <w:szCs w:val="20"/>
                <w:lang w:val="sr-Latn-CS" w:eastAsia="en-GB"/>
              </w:rPr>
              <w:t xml:space="preserve">2. </w:t>
            </w:r>
            <w:r>
              <w:rPr>
                <w:sz w:val="20"/>
                <w:szCs w:val="20"/>
                <w:lang w:val="sr-Cyrl-CS" w:eastAsia="en-GB"/>
              </w:rPr>
              <w:t>„</w:t>
            </w:r>
            <w:r>
              <w:rPr>
                <w:sz w:val="20"/>
                <w:szCs w:val="20"/>
                <w:lang w:val="sr-Latn-CS" w:eastAsia="en-GB"/>
              </w:rPr>
              <w:t>CENLEX</w:t>
            </w:r>
            <w:r>
              <w:rPr>
                <w:sz w:val="20"/>
                <w:szCs w:val="20"/>
                <w:lang w:val="sr-Cyrl-CS" w:eastAsia="en-GB"/>
              </w:rPr>
              <w:t>”</w:t>
            </w:r>
            <w:r>
              <w:rPr>
                <w:sz w:val="20"/>
                <w:szCs w:val="20"/>
                <w:lang w:val="sr-Latn-CS" w:eastAsia="en-GB"/>
              </w:rPr>
              <w:t xml:space="preserve"> </w:t>
            </w:r>
            <w:r>
              <w:rPr>
                <w:sz w:val="20"/>
                <w:szCs w:val="20"/>
                <w:lang w:val="sr-Cyrl-CS" w:eastAsia="en-GB"/>
              </w:rPr>
              <w:t>ознака ЕУ прописа:</w:t>
            </w:r>
          </w:p>
          <w:p w:rsidR="0017553A" w:rsidRDefault="0017553A">
            <w:pPr>
              <w:rPr>
                <w:rStyle w:val="Strong"/>
                <w:lang w:val="en-GB"/>
              </w:rPr>
            </w:pPr>
          </w:p>
          <w:p w:rsidR="0017553A" w:rsidRDefault="0017553A">
            <w:pPr>
              <w:rPr>
                <w:lang w:val="sr-Cyrl-CS"/>
              </w:rPr>
            </w:pPr>
            <w:r>
              <w:rPr>
                <w:rStyle w:val="Strong"/>
                <w:sz w:val="20"/>
                <w:szCs w:val="20"/>
                <w:lang w:eastAsia="en-GB"/>
              </w:rPr>
              <w:t>32012R1025</w:t>
            </w:r>
          </w:p>
        </w:tc>
      </w:tr>
      <w:tr w:rsidR="0017553A" w:rsidTr="0017553A">
        <w:trPr>
          <w:gridBefore w:val="1"/>
          <w:wBefore w:w="259" w:type="dxa"/>
        </w:trPr>
        <w:tc>
          <w:tcPr>
            <w:tcW w:w="1418" w:type="dxa"/>
            <w:gridSpan w:val="2"/>
            <w:tcBorders>
              <w:top w:val="single" w:sz="4" w:space="0" w:color="000000"/>
              <w:left w:val="single" w:sz="4" w:space="0" w:color="000000"/>
              <w:bottom w:val="single" w:sz="4" w:space="0" w:color="000000"/>
              <w:right w:val="single" w:sz="4" w:space="0" w:color="000000"/>
            </w:tcBorders>
          </w:tcPr>
          <w:p w:rsidR="0017553A" w:rsidRDefault="0017553A">
            <w:pPr>
              <w:autoSpaceDE w:val="0"/>
              <w:autoSpaceDN w:val="0"/>
              <w:adjustRightInd w:val="0"/>
              <w:spacing w:after="0"/>
              <w:rPr>
                <w:sz w:val="20"/>
                <w:szCs w:val="20"/>
                <w:lang w:eastAsia="en-GB"/>
              </w:rPr>
            </w:pPr>
          </w:p>
        </w:tc>
        <w:tc>
          <w:tcPr>
            <w:tcW w:w="10737" w:type="dxa"/>
            <w:gridSpan w:val="5"/>
            <w:tcBorders>
              <w:top w:val="single" w:sz="4" w:space="0" w:color="000000"/>
              <w:left w:val="single" w:sz="4" w:space="0" w:color="000000"/>
              <w:bottom w:val="single" w:sz="4" w:space="0" w:color="000000"/>
              <w:right w:val="single" w:sz="4" w:space="0" w:color="000000"/>
            </w:tcBorders>
            <w:hideMark/>
          </w:tcPr>
          <w:p w:rsidR="0017553A" w:rsidRDefault="0017553A">
            <w:pPr>
              <w:autoSpaceDE w:val="0"/>
              <w:autoSpaceDN w:val="0"/>
              <w:adjustRightInd w:val="0"/>
              <w:spacing w:after="0"/>
              <w:rPr>
                <w:sz w:val="20"/>
                <w:szCs w:val="20"/>
                <w:lang w:eastAsia="en-GB"/>
              </w:rPr>
            </w:pPr>
            <w:r>
              <w:rPr>
                <w:sz w:val="20"/>
                <w:szCs w:val="20"/>
                <w:lang w:eastAsia="en-GB"/>
              </w:rPr>
              <w:t xml:space="preserve">Regulation (EU) No 1025/2012 of the European Parliament and of the Council of 25 October 2012 on European standardisation, amending Council Directives 89/686/EEC and 93/15/EEC and Directives 94/9/EC, 94/25/EC, 95/16/EC, 97/23/EC, 98/34/EC, 2004/22/EC, 2007/23/EC, 2009/23/EC and 2009/105/EC of the European Parliament and of the Council and repealing Council Decision 87/95/EEC and Decision No 1673/2006/EC of the European Parliament and of the Council </w:t>
            </w:r>
            <w:bookmarkStart w:id="12" w:name="content"/>
            <w:r>
              <w:rPr>
                <w:i/>
                <w:sz w:val="20"/>
                <w:szCs w:val="20"/>
                <w:lang w:eastAsia="en-GB"/>
              </w:rPr>
              <w:t>(</w:t>
            </w:r>
            <w:r>
              <w:rPr>
                <w:rStyle w:val="Emphasis"/>
                <w:sz w:val="20"/>
                <w:szCs w:val="20"/>
              </w:rPr>
              <w:t>OJ L 316, 14.11.2012</w:t>
            </w:r>
            <w:bookmarkEnd w:id="12"/>
            <w:r>
              <w:rPr>
                <w:rStyle w:val="Emphasis"/>
                <w:sz w:val="20"/>
                <w:szCs w:val="20"/>
              </w:rPr>
              <w:t>)</w:t>
            </w:r>
          </w:p>
          <w:p w:rsidR="0017553A" w:rsidRDefault="0017553A">
            <w:pPr>
              <w:autoSpaceDE w:val="0"/>
              <w:autoSpaceDN w:val="0"/>
              <w:adjustRightInd w:val="0"/>
              <w:spacing w:after="0"/>
              <w:rPr>
                <w:sz w:val="20"/>
                <w:szCs w:val="20"/>
                <w:lang w:val="sr-Latn-CS" w:eastAsia="en-GB"/>
              </w:rPr>
            </w:pPr>
            <w:r>
              <w:rPr>
                <w:sz w:val="20"/>
                <w:szCs w:val="20"/>
                <w:lang w:eastAsia="en-GB"/>
              </w:rPr>
              <w:t xml:space="preserve"> </w:t>
            </w:r>
          </w:p>
        </w:tc>
        <w:tc>
          <w:tcPr>
            <w:tcW w:w="5913" w:type="dxa"/>
            <w:gridSpan w:val="2"/>
            <w:vMerge/>
            <w:tcBorders>
              <w:top w:val="single" w:sz="4" w:space="0" w:color="000000"/>
              <w:left w:val="single" w:sz="4" w:space="0" w:color="000000"/>
              <w:bottom w:val="single" w:sz="4" w:space="0" w:color="000000"/>
              <w:right w:val="single" w:sz="4" w:space="0" w:color="000000"/>
            </w:tcBorders>
            <w:vAlign w:val="center"/>
            <w:hideMark/>
          </w:tcPr>
          <w:p w:rsidR="0017553A" w:rsidRDefault="0017553A">
            <w:pPr>
              <w:spacing w:after="0"/>
              <w:rPr>
                <w:rFonts w:ascii="Times New Roman" w:hAnsi="Times New Roman"/>
                <w:sz w:val="24"/>
                <w:lang w:val="sr-Cyrl-CS"/>
              </w:rPr>
            </w:pPr>
          </w:p>
        </w:tc>
      </w:tr>
      <w:tr w:rsidR="0017553A" w:rsidTr="0017553A">
        <w:trPr>
          <w:gridBefore w:val="1"/>
          <w:wBefore w:w="259" w:type="dxa"/>
          <w:trHeight w:val="397"/>
        </w:trPr>
        <w:tc>
          <w:tcPr>
            <w:tcW w:w="1418" w:type="dxa"/>
            <w:gridSpan w:val="2"/>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10737" w:type="dxa"/>
            <w:gridSpan w:val="5"/>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3. Орган државне управе, односно други овлашћени предлагач прописа - ВЛАДА</w:t>
            </w:r>
          </w:p>
        </w:tc>
        <w:tc>
          <w:tcPr>
            <w:tcW w:w="3817"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4. Датум израде табеле</w:t>
            </w:r>
          </w:p>
        </w:tc>
      </w:tr>
      <w:tr w:rsidR="0017553A" w:rsidTr="0017553A">
        <w:trPr>
          <w:gridBefore w:val="1"/>
          <w:wBefore w:w="259" w:type="dxa"/>
          <w:trHeight w:val="397"/>
        </w:trPr>
        <w:tc>
          <w:tcPr>
            <w:tcW w:w="1418" w:type="dxa"/>
            <w:gridSpan w:val="2"/>
            <w:tcBorders>
              <w:top w:val="single" w:sz="4" w:space="0" w:color="000000"/>
              <w:left w:val="single" w:sz="4" w:space="0" w:color="000000"/>
              <w:bottom w:val="single" w:sz="4" w:space="0" w:color="000000"/>
              <w:right w:val="single" w:sz="4" w:space="0" w:color="000000"/>
            </w:tcBorders>
          </w:tcPr>
          <w:p w:rsidR="0017553A" w:rsidRDefault="0017553A">
            <w:pPr>
              <w:spacing w:after="0"/>
              <w:rPr>
                <w:iCs/>
                <w:noProof/>
                <w:sz w:val="20"/>
                <w:szCs w:val="20"/>
                <w:lang w:val="sr-Cyrl-CS" w:eastAsia="en-GB"/>
              </w:rPr>
            </w:pPr>
          </w:p>
        </w:tc>
        <w:tc>
          <w:tcPr>
            <w:tcW w:w="10737" w:type="dxa"/>
            <w:gridSpan w:val="5"/>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iCs/>
                <w:noProof/>
                <w:sz w:val="20"/>
                <w:szCs w:val="20"/>
                <w:lang w:val="sr-Cyrl-CS" w:eastAsia="en-GB"/>
              </w:rPr>
              <w:t xml:space="preserve">    Обрађивач - МИНИСТАРСТВО ПРИВРЕДЕ</w:t>
            </w:r>
          </w:p>
        </w:tc>
        <w:tc>
          <w:tcPr>
            <w:tcW w:w="3817"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highlight w:val="green"/>
                <w:lang w:val="sr-Cyrl-CS" w:eastAsia="en-GB"/>
              </w:rPr>
            </w:pPr>
            <w:r>
              <w:rPr>
                <w:sz w:val="20"/>
                <w:szCs w:val="20"/>
                <w:lang w:eastAsia="en-GB"/>
              </w:rPr>
              <w:t>10</w:t>
            </w:r>
            <w:r>
              <w:rPr>
                <w:sz w:val="20"/>
                <w:szCs w:val="20"/>
                <w:lang w:val="sr-Cyrl-CS" w:eastAsia="en-GB"/>
              </w:rPr>
              <w:t>.</w:t>
            </w:r>
            <w:r>
              <w:rPr>
                <w:sz w:val="20"/>
                <w:szCs w:val="20"/>
                <w:lang w:eastAsia="en-GB"/>
              </w:rPr>
              <w:t>01</w:t>
            </w:r>
            <w:r>
              <w:rPr>
                <w:sz w:val="20"/>
                <w:szCs w:val="20"/>
                <w:lang w:val="sr-Cyrl-CS" w:eastAsia="en-GB"/>
              </w:rPr>
              <w:t>.201</w:t>
            </w:r>
            <w:r>
              <w:rPr>
                <w:sz w:val="20"/>
                <w:szCs w:val="20"/>
                <w:lang w:eastAsia="en-GB"/>
              </w:rPr>
              <w:t>4</w:t>
            </w:r>
            <w:r>
              <w:rPr>
                <w:sz w:val="20"/>
                <w:szCs w:val="20"/>
                <w:lang w:val="sr-Cyrl-CS" w:eastAsia="en-GB"/>
              </w:rPr>
              <w:t xml:space="preserve">. </w:t>
            </w:r>
          </w:p>
        </w:tc>
      </w:tr>
      <w:tr w:rsidR="0017553A" w:rsidTr="0017553A">
        <w:trPr>
          <w:gridBefore w:val="1"/>
          <w:wBefore w:w="259" w:type="dxa"/>
        </w:trPr>
        <w:tc>
          <w:tcPr>
            <w:tcW w:w="1418" w:type="dxa"/>
            <w:gridSpan w:val="2"/>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10737" w:type="dxa"/>
            <w:gridSpan w:val="5"/>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5. Назив (важећег, нацрта, предлога) прописа чије одредбе су предмет анализе усклађености са прописом ЕУ</w:t>
            </w:r>
          </w:p>
        </w:tc>
        <w:tc>
          <w:tcPr>
            <w:tcW w:w="3817"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6. Бројчане ознаке (шифре) планираних прописа из базе НПАА</w:t>
            </w:r>
          </w:p>
        </w:tc>
      </w:tr>
      <w:tr w:rsidR="0017553A" w:rsidTr="0017553A">
        <w:trPr>
          <w:gridBefore w:val="1"/>
          <w:wBefore w:w="259" w:type="dxa"/>
          <w:trHeight w:val="397"/>
        </w:trPr>
        <w:tc>
          <w:tcPr>
            <w:tcW w:w="1418" w:type="dxa"/>
            <w:gridSpan w:val="2"/>
            <w:tcBorders>
              <w:top w:val="single" w:sz="4" w:space="0" w:color="000000"/>
              <w:left w:val="single" w:sz="4" w:space="0" w:color="000000"/>
              <w:bottom w:val="single" w:sz="4" w:space="0" w:color="000000"/>
              <w:right w:val="single" w:sz="4" w:space="0" w:color="000000"/>
            </w:tcBorders>
          </w:tcPr>
          <w:p w:rsidR="0017553A" w:rsidRDefault="0017553A">
            <w:pPr>
              <w:pStyle w:val="NoSpacing"/>
              <w:rPr>
                <w:rFonts w:ascii="Times New Roman" w:hAnsi="Times New Roman"/>
                <w:b/>
                <w:sz w:val="20"/>
                <w:szCs w:val="20"/>
                <w:lang w:val="sr-Cyrl-CS" w:eastAsia="en-GB"/>
              </w:rPr>
            </w:pPr>
          </w:p>
        </w:tc>
        <w:tc>
          <w:tcPr>
            <w:tcW w:w="10737" w:type="dxa"/>
            <w:gridSpan w:val="5"/>
            <w:tcBorders>
              <w:top w:val="single" w:sz="4" w:space="0" w:color="000000"/>
              <w:left w:val="single" w:sz="4" w:space="0" w:color="000000"/>
              <w:bottom w:val="single" w:sz="4" w:space="0" w:color="000000"/>
              <w:right w:val="single" w:sz="4" w:space="0" w:color="000000"/>
            </w:tcBorders>
          </w:tcPr>
          <w:p w:rsidR="0017553A" w:rsidRDefault="0017553A">
            <w:pPr>
              <w:rPr>
                <w:rFonts w:ascii="Times New Roman" w:eastAsia="Times New Roman" w:hAnsi="Times New Roman"/>
                <w:sz w:val="20"/>
                <w:szCs w:val="20"/>
                <w:lang w:val="en-GB" w:eastAsia="en-GB"/>
              </w:rPr>
            </w:pPr>
            <w:r>
              <w:rPr>
                <w:sz w:val="20"/>
                <w:szCs w:val="20"/>
                <w:lang w:val="sr-Cyrl-CS" w:eastAsia="en-GB"/>
              </w:rPr>
              <w:t>0.1 Предлог закона о изменама и допунама Закона о стандардизацији</w:t>
            </w:r>
            <w:r>
              <w:rPr>
                <w:sz w:val="20"/>
                <w:szCs w:val="20"/>
                <w:lang w:val="sr-Latn-CS" w:eastAsia="en-GB"/>
              </w:rPr>
              <w:t xml:space="preserve"> - L</w:t>
            </w:r>
            <w:r>
              <w:rPr>
                <w:rFonts w:eastAsia="Times New Roman"/>
                <w:sz w:val="20"/>
                <w:szCs w:val="20"/>
                <w:lang w:eastAsia="en-GB"/>
              </w:rPr>
              <w:t>aw Amending the Law on Standardisation</w:t>
            </w:r>
          </w:p>
          <w:p w:rsidR="0017553A" w:rsidRDefault="0017553A">
            <w:pPr>
              <w:rPr>
                <w:rFonts w:eastAsia="Times New Roman"/>
                <w:sz w:val="20"/>
                <w:szCs w:val="20"/>
                <w:lang w:eastAsia="en-GB"/>
              </w:rPr>
            </w:pPr>
            <w:r>
              <w:rPr>
                <w:iCs/>
                <w:sz w:val="20"/>
                <w:szCs w:val="20"/>
                <w:lang w:val="sr-Cyrl-CS" w:eastAsia="en-GB"/>
              </w:rPr>
              <w:t>0.</w:t>
            </w:r>
            <w:r>
              <w:rPr>
                <w:iCs/>
                <w:sz w:val="20"/>
                <w:szCs w:val="20"/>
                <w:lang w:eastAsia="en-GB"/>
              </w:rPr>
              <w:t>2</w:t>
            </w:r>
            <w:r>
              <w:rPr>
                <w:iCs/>
                <w:sz w:val="20"/>
                <w:szCs w:val="20"/>
                <w:lang w:val="sr-Cyrl-CS" w:eastAsia="en-GB"/>
              </w:rPr>
              <w:t xml:space="preserve">  Закон о техничким захтевима за производе и оцењивање усаглашености</w:t>
            </w:r>
            <w:r>
              <w:rPr>
                <w:iCs/>
                <w:sz w:val="20"/>
                <w:szCs w:val="20"/>
                <w:lang w:val="ru-RU" w:eastAsia="en-GB"/>
              </w:rPr>
              <w:t xml:space="preserve"> ("Сл. гласник РС", бр</w:t>
            </w:r>
            <w:r>
              <w:rPr>
                <w:iCs/>
                <w:sz w:val="20"/>
                <w:szCs w:val="20"/>
                <w:lang w:val="sr-Cyrl-CS" w:eastAsia="en-GB"/>
              </w:rPr>
              <w:t xml:space="preserve">ој </w:t>
            </w:r>
            <w:r>
              <w:rPr>
                <w:iCs/>
                <w:sz w:val="20"/>
                <w:szCs w:val="20"/>
                <w:lang w:val="ru-RU" w:eastAsia="en-GB"/>
              </w:rPr>
              <w:t>36/2009</w:t>
            </w:r>
            <w:r>
              <w:rPr>
                <w:iCs/>
                <w:sz w:val="20"/>
                <w:szCs w:val="20"/>
                <w:lang w:val="sr-Cyrl-CS" w:eastAsia="en-GB"/>
              </w:rPr>
              <w:t>)</w:t>
            </w:r>
            <w:r>
              <w:rPr>
                <w:iCs/>
                <w:sz w:val="20"/>
                <w:szCs w:val="20"/>
                <w:lang w:val="sr-Latn-CS" w:eastAsia="en-GB"/>
              </w:rPr>
              <w:t>-</w:t>
            </w:r>
            <w:r>
              <w:rPr>
                <w:rFonts w:eastAsia="Times New Roman"/>
                <w:sz w:val="20"/>
                <w:szCs w:val="20"/>
                <w:lang w:eastAsia="en-GB"/>
              </w:rPr>
              <w:t xml:space="preserve"> Law on Technical Requirements for Products and Conformity Assessment (</w:t>
            </w:r>
            <w:r>
              <w:rPr>
                <w:iCs/>
                <w:sz w:val="20"/>
                <w:szCs w:val="20"/>
                <w:lang w:val="ru-RU" w:eastAsia="en-GB"/>
              </w:rPr>
              <w:t>"</w:t>
            </w:r>
            <w:r>
              <w:rPr>
                <w:rFonts w:eastAsia="Times New Roman"/>
                <w:sz w:val="20"/>
                <w:szCs w:val="20"/>
                <w:lang w:eastAsia="en-GB"/>
              </w:rPr>
              <w:t>Official Gazette of RS</w:t>
            </w:r>
            <w:r>
              <w:rPr>
                <w:iCs/>
                <w:sz w:val="20"/>
                <w:szCs w:val="20"/>
                <w:lang w:val="ru-RU" w:eastAsia="en-GB"/>
              </w:rPr>
              <w:t>"</w:t>
            </w:r>
            <w:r>
              <w:rPr>
                <w:iCs/>
                <w:sz w:val="20"/>
                <w:szCs w:val="20"/>
                <w:lang w:val="sr-Latn-CS" w:eastAsia="en-GB"/>
              </w:rPr>
              <w:t>, No. 36/09</w:t>
            </w:r>
            <w:r>
              <w:rPr>
                <w:rFonts w:eastAsia="Times New Roman"/>
                <w:sz w:val="20"/>
                <w:szCs w:val="20"/>
                <w:lang w:eastAsia="en-GB"/>
              </w:rPr>
              <w:t>)</w:t>
            </w:r>
          </w:p>
          <w:p w:rsidR="0017553A" w:rsidRDefault="0017553A">
            <w:pPr>
              <w:rPr>
                <w:rFonts w:eastAsia="Times New Roman"/>
                <w:sz w:val="20"/>
                <w:szCs w:val="20"/>
                <w:lang w:eastAsia="en-GB"/>
              </w:rPr>
            </w:pPr>
            <w:r>
              <w:rPr>
                <w:iCs/>
                <w:sz w:val="20"/>
                <w:szCs w:val="20"/>
                <w:lang w:val="sr-Cyrl-CS" w:eastAsia="en-GB"/>
              </w:rPr>
              <w:t>0.</w:t>
            </w:r>
            <w:r>
              <w:rPr>
                <w:iCs/>
                <w:sz w:val="20"/>
                <w:szCs w:val="20"/>
                <w:lang w:eastAsia="en-GB"/>
              </w:rPr>
              <w:t>3</w:t>
            </w:r>
            <w:r>
              <w:rPr>
                <w:iCs/>
                <w:sz w:val="20"/>
                <w:szCs w:val="20"/>
                <w:lang w:val="sr-Cyrl-CS" w:eastAsia="en-GB"/>
              </w:rPr>
              <w:t xml:space="preserve">  У</w:t>
            </w:r>
            <w:r>
              <w:rPr>
                <w:iCs/>
                <w:sz w:val="20"/>
                <w:szCs w:val="20"/>
                <w:lang w:val="ru-RU" w:eastAsia="en-GB"/>
              </w:rPr>
              <w:t>редба</w:t>
            </w:r>
            <w:r>
              <w:rPr>
                <w:iCs/>
                <w:sz w:val="20"/>
                <w:szCs w:val="20"/>
                <w:lang w:val="sr-Cyrl-CS" w:eastAsia="en-GB"/>
              </w:rPr>
              <w:t xml:space="preserve"> о </w:t>
            </w:r>
            <w:r>
              <w:rPr>
                <w:iCs/>
                <w:sz w:val="20"/>
                <w:szCs w:val="20"/>
                <w:lang w:val="ru-RU" w:eastAsia="en-GB"/>
              </w:rPr>
              <w:t xml:space="preserve"> поступку пријављивања и начину информисања који се односе на техничке прописе, оцењивање усаглашености и </w:t>
            </w:r>
            <w:r>
              <w:rPr>
                <w:iCs/>
                <w:sz w:val="20"/>
                <w:szCs w:val="20"/>
                <w:lang w:val="sr-Cyrl-CS" w:eastAsia="en-GB"/>
              </w:rPr>
              <w:t>с</w:t>
            </w:r>
            <w:r>
              <w:rPr>
                <w:iCs/>
                <w:sz w:val="20"/>
                <w:szCs w:val="20"/>
                <w:lang w:val="ru-RU" w:eastAsia="en-GB"/>
              </w:rPr>
              <w:t>тандарде</w:t>
            </w:r>
            <w:r>
              <w:rPr>
                <w:iCs/>
                <w:sz w:val="20"/>
                <w:szCs w:val="20"/>
                <w:lang w:val="sr-Cyrl-CS" w:eastAsia="en-GB"/>
              </w:rPr>
              <w:t xml:space="preserve">  </w:t>
            </w:r>
            <w:r>
              <w:rPr>
                <w:iCs/>
                <w:sz w:val="20"/>
                <w:szCs w:val="20"/>
                <w:lang w:val="ru-RU" w:eastAsia="en-GB"/>
              </w:rPr>
              <w:t>("Сл</w:t>
            </w:r>
            <w:r>
              <w:rPr>
                <w:iCs/>
                <w:sz w:val="20"/>
                <w:szCs w:val="20"/>
                <w:lang w:val="sr-Cyrl-CS" w:eastAsia="en-GB"/>
              </w:rPr>
              <w:t>ужбени</w:t>
            </w:r>
            <w:r>
              <w:rPr>
                <w:iCs/>
                <w:sz w:val="20"/>
                <w:szCs w:val="20"/>
                <w:lang w:val="ru-RU" w:eastAsia="en-GB"/>
              </w:rPr>
              <w:t xml:space="preserve"> гласник РС", бр</w:t>
            </w:r>
            <w:r>
              <w:rPr>
                <w:iCs/>
                <w:sz w:val="20"/>
                <w:szCs w:val="20"/>
                <w:lang w:val="sr-Cyrl-CS" w:eastAsia="en-GB"/>
              </w:rPr>
              <w:t>ој</w:t>
            </w:r>
            <w:r>
              <w:rPr>
                <w:iCs/>
                <w:sz w:val="20"/>
                <w:szCs w:val="20"/>
                <w:lang w:val="ru-RU" w:eastAsia="en-GB"/>
              </w:rPr>
              <w:t xml:space="preserve"> 45/2010)</w:t>
            </w:r>
            <w:r>
              <w:rPr>
                <w:iCs/>
                <w:sz w:val="20"/>
                <w:szCs w:val="20"/>
                <w:lang w:val="sr-Latn-CS" w:eastAsia="en-GB"/>
              </w:rPr>
              <w:t xml:space="preserve"> - </w:t>
            </w:r>
            <w:r>
              <w:rPr>
                <w:rFonts w:eastAsia="Times New Roman"/>
                <w:sz w:val="20"/>
                <w:szCs w:val="20"/>
                <w:lang w:eastAsia="en-GB"/>
              </w:rPr>
              <w:t>Regulation on the Manner of Providing Information and Notification of Technical Regulations, Conformity Assessment and S</w:t>
            </w:r>
            <w:r>
              <w:rPr>
                <w:rFonts w:eastAsia="Times New Roman"/>
                <w:sz w:val="20"/>
                <w:szCs w:val="20"/>
                <w:lang w:val="sr-Latn-CS" w:eastAsia="en-GB"/>
              </w:rPr>
              <w:t>t</w:t>
            </w:r>
            <w:r>
              <w:rPr>
                <w:rFonts w:eastAsia="Times New Roman"/>
                <w:sz w:val="20"/>
                <w:szCs w:val="20"/>
                <w:lang w:eastAsia="en-GB"/>
              </w:rPr>
              <w:t xml:space="preserve">andards ("Official Gazette of RS", No. 45/10)  </w:t>
            </w:r>
          </w:p>
          <w:p w:rsidR="0017553A" w:rsidRDefault="0017553A">
            <w:pPr>
              <w:pStyle w:val="NoSpacing"/>
              <w:rPr>
                <w:rFonts w:ascii="Times New Roman" w:hAnsi="Times New Roman"/>
                <w:iCs/>
                <w:sz w:val="20"/>
                <w:szCs w:val="20"/>
                <w:lang w:val="sr-Latn-CS" w:eastAsia="en-GB"/>
              </w:rPr>
            </w:pPr>
            <w:r>
              <w:rPr>
                <w:rFonts w:ascii="Times New Roman" w:hAnsi="Times New Roman"/>
                <w:iCs/>
                <w:sz w:val="20"/>
                <w:szCs w:val="20"/>
                <w:lang w:val="ru-RU" w:eastAsia="en-GB"/>
              </w:rPr>
              <w:t>0.</w:t>
            </w:r>
            <w:r>
              <w:rPr>
                <w:rFonts w:ascii="Times New Roman" w:hAnsi="Times New Roman"/>
                <w:iCs/>
                <w:sz w:val="20"/>
                <w:szCs w:val="20"/>
                <w:lang w:val="en-GB" w:eastAsia="en-GB"/>
              </w:rPr>
              <w:t>4</w:t>
            </w:r>
            <w:r>
              <w:rPr>
                <w:rFonts w:ascii="Times New Roman" w:hAnsi="Times New Roman"/>
                <w:iCs/>
                <w:sz w:val="20"/>
                <w:szCs w:val="20"/>
                <w:lang w:val="ru-RU" w:eastAsia="en-GB"/>
              </w:rPr>
              <w:t xml:space="preserve">  </w:t>
            </w:r>
            <w:r>
              <w:rPr>
                <w:rFonts w:ascii="Times New Roman" w:hAnsi="Times New Roman"/>
                <w:iCs/>
                <w:sz w:val="20"/>
                <w:szCs w:val="20"/>
                <w:lang w:val="sr-Cyrl-CS" w:eastAsia="en-GB"/>
              </w:rPr>
              <w:t>Одлука о изменама и допунама Оснивачког акта Института за стандардизацију Србије („Службени гласник РС“, број 88/09)</w:t>
            </w:r>
            <w:r>
              <w:rPr>
                <w:rFonts w:ascii="Times New Roman" w:hAnsi="Times New Roman"/>
                <w:iCs/>
                <w:sz w:val="20"/>
                <w:szCs w:val="20"/>
                <w:lang w:val="sr-Latn-CS" w:eastAsia="en-GB"/>
              </w:rPr>
              <w:t xml:space="preserve"> - </w:t>
            </w:r>
            <w:r>
              <w:rPr>
                <w:rFonts w:ascii="Times New Roman" w:hAnsi="Times New Roman"/>
                <w:sz w:val="20"/>
                <w:szCs w:val="20"/>
              </w:rPr>
              <w:t>Decision on the Amendments of the Constituent Act of the Institute for Standardisation of Serbia</w:t>
            </w:r>
            <w:r>
              <w:rPr>
                <w:rFonts w:ascii="Times New Roman" w:hAnsi="Times New Roman"/>
                <w:sz w:val="20"/>
                <w:szCs w:val="20"/>
                <w:lang w:val="sr-Cyrl-CS"/>
              </w:rPr>
              <w:t xml:space="preserve"> (</w:t>
            </w:r>
            <w:r>
              <w:rPr>
                <w:rFonts w:ascii="Times New Roman" w:hAnsi="Times New Roman"/>
                <w:iCs/>
                <w:sz w:val="20"/>
                <w:szCs w:val="20"/>
                <w:lang w:val="ru-RU" w:eastAsia="en-GB"/>
              </w:rPr>
              <w:t>"</w:t>
            </w:r>
            <w:r>
              <w:rPr>
                <w:rFonts w:ascii="Times New Roman" w:hAnsi="Times New Roman"/>
                <w:sz w:val="20"/>
                <w:szCs w:val="20"/>
              </w:rPr>
              <w:t>Official Gazette of RS</w:t>
            </w:r>
            <w:r>
              <w:rPr>
                <w:rFonts w:ascii="Times New Roman" w:hAnsi="Times New Roman"/>
                <w:iCs/>
                <w:sz w:val="20"/>
                <w:szCs w:val="20"/>
                <w:lang w:val="ru-RU" w:eastAsia="en-GB"/>
              </w:rPr>
              <w:t>"</w:t>
            </w:r>
            <w:r>
              <w:rPr>
                <w:rFonts w:ascii="Times New Roman" w:hAnsi="Times New Roman"/>
                <w:sz w:val="20"/>
                <w:szCs w:val="20"/>
                <w:lang w:val="sr-Cyrl-CS"/>
              </w:rPr>
              <w:t xml:space="preserve">, </w:t>
            </w:r>
            <w:r>
              <w:rPr>
                <w:rFonts w:ascii="Times New Roman" w:hAnsi="Times New Roman"/>
                <w:sz w:val="20"/>
                <w:szCs w:val="20"/>
              </w:rPr>
              <w:t>No</w:t>
            </w:r>
            <w:r>
              <w:rPr>
                <w:rFonts w:ascii="Times New Roman" w:hAnsi="Times New Roman"/>
                <w:sz w:val="20"/>
                <w:szCs w:val="20"/>
                <w:lang w:val="sr-Cyrl-CS"/>
              </w:rPr>
              <w:t xml:space="preserve">. 88/09) </w:t>
            </w:r>
          </w:p>
          <w:p w:rsidR="0017553A" w:rsidRDefault="0017553A">
            <w:pPr>
              <w:pStyle w:val="NoSpacing"/>
              <w:rPr>
                <w:rFonts w:ascii="Times New Roman" w:hAnsi="Times New Roman"/>
                <w:sz w:val="20"/>
                <w:szCs w:val="20"/>
                <w:lang w:val="sr-Cyrl-CS" w:eastAsia="en-GB"/>
              </w:rPr>
            </w:pPr>
          </w:p>
        </w:tc>
        <w:tc>
          <w:tcPr>
            <w:tcW w:w="3817"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rFonts w:ascii="Times New Roman" w:hAnsi="Times New Roman"/>
                <w:sz w:val="20"/>
                <w:szCs w:val="20"/>
                <w:highlight w:val="green"/>
                <w:lang w:val="sr-Cyrl-CS" w:eastAsia="en-GB"/>
              </w:rPr>
            </w:pPr>
            <w:r>
              <w:rPr>
                <w:sz w:val="20"/>
                <w:szCs w:val="20"/>
                <w:lang w:val="sr-Cyrl-CS" w:eastAsia="en-GB"/>
              </w:rPr>
              <w:t>-</w:t>
            </w:r>
          </w:p>
        </w:tc>
      </w:tr>
      <w:tr w:rsidR="0017553A" w:rsidTr="0017553A">
        <w:trPr>
          <w:gridBefore w:val="1"/>
          <w:wBefore w:w="259" w:type="dxa"/>
          <w:trHeight w:val="397"/>
        </w:trPr>
        <w:tc>
          <w:tcPr>
            <w:tcW w:w="1418" w:type="dxa"/>
            <w:gridSpan w:val="2"/>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14554" w:type="dxa"/>
            <w:gridSpan w:val="7"/>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ru-RU" w:eastAsia="en-GB"/>
              </w:rPr>
            </w:pPr>
            <w:r>
              <w:rPr>
                <w:sz w:val="20"/>
                <w:szCs w:val="20"/>
                <w:lang w:val="sr-Cyrl-CS" w:eastAsia="en-GB"/>
              </w:rPr>
              <w:t>7. Усклађеност одредаба прописа са одредбама прописа ЕУ</w:t>
            </w: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а)</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а1)</w:t>
            </w:r>
          </w:p>
        </w:tc>
        <w:tc>
          <w:tcPr>
            <w:tcW w:w="993"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б)</w:t>
            </w:r>
          </w:p>
        </w:tc>
        <w:tc>
          <w:tcPr>
            <w:tcW w:w="3827"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б1)</w:t>
            </w: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в)</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г)</w:t>
            </w:r>
          </w:p>
        </w:tc>
        <w:tc>
          <w:tcPr>
            <w:tcW w:w="1796"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д)</w:t>
            </w: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 xml:space="preserve">Одредба прописа ЕУ (члан, став, </w:t>
            </w:r>
            <w:r>
              <w:rPr>
                <w:sz w:val="20"/>
                <w:szCs w:val="20"/>
                <w:lang w:val="sr-Cyrl-CS" w:eastAsia="en-GB"/>
              </w:rPr>
              <w:lastRenderedPageBreak/>
              <w:t>подстав, тачка, анекс)</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lastRenderedPageBreak/>
              <w:t>Садржина одредбе</w:t>
            </w:r>
          </w:p>
        </w:tc>
        <w:tc>
          <w:tcPr>
            <w:tcW w:w="993"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 xml:space="preserve">Одредбе прописа РС (члан, </w:t>
            </w:r>
            <w:r>
              <w:rPr>
                <w:sz w:val="20"/>
                <w:szCs w:val="20"/>
                <w:lang w:val="sr-Cyrl-CS" w:eastAsia="en-GB"/>
              </w:rPr>
              <w:lastRenderedPageBreak/>
              <w:t>став, тачка)</w:t>
            </w:r>
          </w:p>
        </w:tc>
        <w:tc>
          <w:tcPr>
            <w:tcW w:w="3827"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lastRenderedPageBreak/>
              <w:t>Садржина одредбе</w:t>
            </w: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 xml:space="preserve">Усклађеност прописа са </w:t>
            </w:r>
            <w:r>
              <w:rPr>
                <w:sz w:val="20"/>
                <w:szCs w:val="20"/>
                <w:lang w:val="sr-Cyrl-CS" w:eastAsia="en-GB"/>
              </w:rPr>
              <w:lastRenderedPageBreak/>
              <w:t>одредбом прописа ЕУ (ПУ, ДУ, НУ, 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lastRenderedPageBreak/>
              <w:t>Разлози за делимичну усклађеност, неусклађеност или непреносивост</w:t>
            </w:r>
          </w:p>
        </w:tc>
        <w:tc>
          <w:tcPr>
            <w:tcW w:w="1796"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 xml:space="preserve">Напомена о усклађености </w:t>
            </w:r>
          </w:p>
        </w:tc>
      </w:tr>
      <w:tr w:rsidR="0017553A" w:rsidTr="0017553A">
        <w:trPr>
          <w:gridBefore w:val="1"/>
          <w:wBefore w:w="259" w:type="dxa"/>
          <w:trHeight w:val="2545"/>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lastRenderedPageBreak/>
              <w:t>1.1.</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eastAsia="en-GB"/>
              </w:rPr>
            </w:pPr>
            <w:r>
              <w:rPr>
                <w:sz w:val="20"/>
                <w:szCs w:val="20"/>
                <w:lang w:eastAsia="en-GB"/>
              </w:rPr>
              <w:t xml:space="preserve">This Regulation establishes rules with regard to the cooperation between European standardisation organisations, national standardisation bodies, Member States and the Commission, the establishment of European standards and European standardisation deliverables for products and for services in support of Union legislation and policies, the identification of ICT technical specifications eligible for referencing, the financing of European standardisation and stakeholder participation in European standardisation. </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Образложење оцене:</w:t>
            </w:r>
          </w:p>
          <w:p w:rsidR="0017553A" w:rsidRDefault="0017553A">
            <w:pPr>
              <w:spacing w:after="0"/>
              <w:rPr>
                <w:sz w:val="20"/>
                <w:szCs w:val="20"/>
                <w:lang w:val="sr-Cyrl-CS" w:eastAsia="en-GB"/>
              </w:rPr>
            </w:pPr>
            <w:r>
              <w:rPr>
                <w:sz w:val="20"/>
                <w:szCs w:val="20"/>
                <w:lang w:val="sr-Cyrl-CS" w:eastAsia="en-GB"/>
              </w:rPr>
              <w:t xml:space="preserve"> Законом није пренета одредба 1.1. Уредбе јер утврђује правила која се односе на </w:t>
            </w:r>
            <w:r>
              <w:rPr>
                <w:sz w:val="20"/>
                <w:szCs w:val="20"/>
                <w:lang w:val="sr-Cyrl-CS"/>
              </w:rPr>
              <w:t xml:space="preserve"> сарадњу између е</w:t>
            </w:r>
            <w:r>
              <w:rPr>
                <w:sz w:val="20"/>
                <w:szCs w:val="20"/>
                <w:lang w:eastAsia="en-GB"/>
              </w:rPr>
              <w:t>вропск</w:t>
            </w:r>
            <w:r>
              <w:rPr>
                <w:sz w:val="20"/>
                <w:szCs w:val="20"/>
                <w:lang w:val="sr-Cyrl-CS" w:eastAsia="en-GB"/>
              </w:rPr>
              <w:t>их</w:t>
            </w:r>
            <w:r>
              <w:rPr>
                <w:sz w:val="20"/>
                <w:szCs w:val="20"/>
                <w:lang w:eastAsia="en-GB"/>
              </w:rPr>
              <w:t xml:space="preserve"> организациј</w:t>
            </w:r>
            <w:r>
              <w:rPr>
                <w:sz w:val="20"/>
                <w:szCs w:val="20"/>
                <w:lang w:val="sr-Cyrl-CS" w:eastAsia="en-GB"/>
              </w:rPr>
              <w:t>а за стандардизацију</w:t>
            </w:r>
            <w:r>
              <w:rPr>
                <w:sz w:val="20"/>
                <w:szCs w:val="20"/>
                <w:lang w:eastAsia="en-GB"/>
              </w:rPr>
              <w:t>, националн</w:t>
            </w:r>
            <w:r>
              <w:rPr>
                <w:sz w:val="20"/>
                <w:szCs w:val="20"/>
                <w:lang w:val="sr-Cyrl-CS" w:eastAsia="en-GB"/>
              </w:rPr>
              <w:t>их</w:t>
            </w:r>
            <w:r>
              <w:rPr>
                <w:sz w:val="20"/>
                <w:szCs w:val="20"/>
                <w:lang w:eastAsia="en-GB"/>
              </w:rPr>
              <w:t xml:space="preserve"> тела</w:t>
            </w:r>
            <w:r>
              <w:rPr>
                <w:sz w:val="20"/>
                <w:szCs w:val="20"/>
                <w:lang w:val="sr-Cyrl-CS" w:eastAsia="en-GB"/>
              </w:rPr>
              <w:t xml:space="preserve"> за стандардизацију,</w:t>
            </w:r>
            <w:r>
              <w:rPr>
                <w:sz w:val="20"/>
                <w:szCs w:val="20"/>
                <w:lang w:eastAsia="en-GB"/>
              </w:rPr>
              <w:t xml:space="preserve"> држав</w:t>
            </w:r>
            <w:r>
              <w:rPr>
                <w:sz w:val="20"/>
                <w:szCs w:val="20"/>
                <w:lang w:val="sr-Cyrl-CS" w:eastAsia="en-GB"/>
              </w:rPr>
              <w:t>а</w:t>
            </w:r>
            <w:r>
              <w:rPr>
                <w:sz w:val="20"/>
                <w:szCs w:val="20"/>
                <w:lang w:eastAsia="en-GB"/>
              </w:rPr>
              <w:t xml:space="preserve"> чланица </w:t>
            </w:r>
            <w:r>
              <w:rPr>
                <w:sz w:val="20"/>
                <w:szCs w:val="20"/>
                <w:lang w:val="sr-Cyrl-CS" w:eastAsia="en-GB"/>
              </w:rPr>
              <w:t xml:space="preserve">ЕУ </w:t>
            </w:r>
            <w:r>
              <w:rPr>
                <w:sz w:val="20"/>
                <w:szCs w:val="20"/>
                <w:lang w:eastAsia="en-GB"/>
              </w:rPr>
              <w:t xml:space="preserve">и </w:t>
            </w:r>
            <w:r>
              <w:rPr>
                <w:sz w:val="20"/>
                <w:szCs w:val="20"/>
                <w:lang w:val="sr-Cyrl-CS" w:eastAsia="en-GB"/>
              </w:rPr>
              <w:t>Европске к</w:t>
            </w:r>
            <w:r>
              <w:rPr>
                <w:sz w:val="20"/>
                <w:szCs w:val="20"/>
                <w:lang w:eastAsia="en-GB"/>
              </w:rPr>
              <w:t>омисије</w:t>
            </w:r>
            <w:r>
              <w:rPr>
                <w:sz w:val="20"/>
                <w:szCs w:val="20"/>
                <w:lang w:val="sr-Cyrl-CS" w:eastAsia="en-GB"/>
              </w:rPr>
              <w:t>.</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2.1.</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pStyle w:val="CM4"/>
              <w:jc w:val="both"/>
              <w:rPr>
                <w:rFonts w:ascii="Times New Roman" w:hAnsi="Times New Roman"/>
                <w:sz w:val="20"/>
                <w:szCs w:val="20"/>
                <w:lang w:val="sr-Cyrl-CS" w:eastAsia="en-GB"/>
              </w:rPr>
            </w:pPr>
            <w:r>
              <w:rPr>
                <w:rFonts w:ascii="Times New Roman" w:hAnsi="Times New Roman"/>
                <w:sz w:val="20"/>
                <w:szCs w:val="20"/>
                <w:lang w:eastAsia="en-GB"/>
              </w:rPr>
              <w:t xml:space="preserve">For the purposes of this Regulation, the following definitions shall apply: </w:t>
            </w:r>
          </w:p>
        </w:tc>
        <w:tc>
          <w:tcPr>
            <w:tcW w:w="993"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rFonts w:ascii="Times New Roman" w:hAnsi="Times New Roman"/>
                <w:b/>
                <w:sz w:val="20"/>
                <w:szCs w:val="20"/>
                <w:lang w:val="sr-Cyrl-CS" w:eastAsia="en-GB"/>
              </w:rPr>
            </w:pPr>
            <w:r>
              <w:rPr>
                <w:b/>
                <w:sz w:val="20"/>
                <w:szCs w:val="20"/>
                <w:lang w:val="sr-Cyrl-CS" w:eastAsia="en-GB"/>
              </w:rPr>
              <w:t>0.1</w:t>
            </w:r>
          </w:p>
          <w:p w:rsidR="0017553A" w:rsidRDefault="0017553A">
            <w:pPr>
              <w:spacing w:after="0"/>
              <w:rPr>
                <w:b/>
                <w:sz w:val="20"/>
                <w:szCs w:val="20"/>
                <w:lang w:val="sr-Cyrl-CS" w:eastAsia="en-GB"/>
              </w:rPr>
            </w:pPr>
            <w:r>
              <w:rPr>
                <w:b/>
                <w:sz w:val="20"/>
                <w:szCs w:val="20"/>
                <w:lang w:val="sr-Cyrl-CS" w:eastAsia="en-GB"/>
              </w:rPr>
              <w:t>3.1</w:t>
            </w:r>
          </w:p>
        </w:tc>
        <w:tc>
          <w:tcPr>
            <w:tcW w:w="3827" w:type="dxa"/>
            <w:tcBorders>
              <w:top w:val="single" w:sz="4" w:space="0" w:color="000000"/>
              <w:left w:val="single" w:sz="4" w:space="0" w:color="000000"/>
              <w:bottom w:val="single" w:sz="4" w:space="0" w:color="000000"/>
              <w:right w:val="single" w:sz="4" w:space="0" w:color="000000"/>
            </w:tcBorders>
            <w:hideMark/>
          </w:tcPr>
          <w:p w:rsidR="0017553A" w:rsidRDefault="0017553A">
            <w:pPr>
              <w:pStyle w:val="1tekst"/>
              <w:ind w:left="0" w:firstLine="0"/>
              <w:jc w:val="left"/>
              <w:rPr>
                <w:rFonts w:ascii="Times New Roman" w:hAnsi="Times New Roman" w:cs="Times New Roman"/>
                <w:lang w:val="ru-RU" w:eastAsia="en-GB"/>
              </w:rPr>
            </w:pPr>
            <w:r>
              <w:rPr>
                <w:rFonts w:ascii="Times New Roman" w:hAnsi="Times New Roman" w:cs="Times New Roman"/>
                <w:lang w:val="ru-RU" w:eastAsia="en-GB"/>
              </w:rPr>
              <w:t>Поједини  изрази употребљени у овом закону имају следеће значење:</w:t>
            </w: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rFonts w:ascii="Times New Roman" w:hAnsi="Times New Roman"/>
                <w:b/>
                <w:sz w:val="20"/>
                <w:szCs w:val="20"/>
                <w:lang w:val="sr-Cyrl-CS" w:eastAsia="en-GB"/>
              </w:rPr>
            </w:pPr>
            <w:r>
              <w:rPr>
                <w:b/>
                <w:sz w:val="20"/>
                <w:szCs w:val="20"/>
                <w:lang w:val="sr-Cyrl-CS" w:eastAsia="en-GB"/>
              </w:rPr>
              <w:t>ПУ</w:t>
            </w:r>
          </w:p>
        </w:tc>
        <w:tc>
          <w:tcPr>
            <w:tcW w:w="2410" w:type="dxa"/>
            <w:gridSpan w:val="2"/>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Height w:val="62"/>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eastAsia="en-GB"/>
              </w:rPr>
              <w:t>2.1.1</w:t>
            </w:r>
          </w:p>
        </w:tc>
        <w:tc>
          <w:tcPr>
            <w:tcW w:w="4583" w:type="dxa"/>
            <w:gridSpan w:val="2"/>
            <w:tcBorders>
              <w:top w:val="single" w:sz="4" w:space="0" w:color="000000"/>
              <w:left w:val="single" w:sz="4" w:space="0" w:color="000000"/>
              <w:bottom w:val="single" w:sz="4" w:space="0" w:color="000000"/>
              <w:right w:val="single" w:sz="4" w:space="0" w:color="000000"/>
            </w:tcBorders>
          </w:tcPr>
          <w:p w:rsidR="0017553A" w:rsidRDefault="0017553A">
            <w:pPr>
              <w:pStyle w:val="CM4"/>
              <w:jc w:val="both"/>
              <w:rPr>
                <w:rFonts w:ascii="Times New Roman" w:hAnsi="Times New Roman"/>
                <w:sz w:val="20"/>
                <w:szCs w:val="20"/>
                <w:lang w:eastAsia="en-GB"/>
              </w:rPr>
            </w:pPr>
            <w:r>
              <w:rPr>
                <w:rFonts w:ascii="Times New Roman" w:hAnsi="Times New Roman"/>
                <w:sz w:val="20"/>
                <w:szCs w:val="20"/>
                <w:lang w:eastAsia="en-GB"/>
              </w:rPr>
              <w:t xml:space="preserve">‘standard’ means a technical specification, adopted by a recognised standardisation body, for repeated or continuous application, with which compliance is not compulsory, and which is one of the following: </w:t>
            </w:r>
          </w:p>
          <w:p w:rsidR="0017553A" w:rsidRDefault="0017553A">
            <w:pPr>
              <w:rPr>
                <w:rFonts w:ascii="Times New Roman" w:hAnsi="Times New Roman"/>
                <w:b/>
                <w:sz w:val="20"/>
                <w:szCs w:val="20"/>
                <w:lang w:val="sr-Cyrl-CS" w:eastAsia="en-GB"/>
              </w:rPr>
            </w:pP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val="sr-Cyrl-CS" w:eastAsia="en-GB"/>
              </w:rPr>
              <w:t>0.1</w:t>
            </w:r>
          </w:p>
          <w:p w:rsidR="0017553A" w:rsidRDefault="0017553A">
            <w:pPr>
              <w:spacing w:after="0"/>
              <w:rPr>
                <w:b/>
                <w:sz w:val="20"/>
                <w:szCs w:val="20"/>
                <w:lang w:eastAsia="en-GB"/>
              </w:rPr>
            </w:pPr>
            <w:r>
              <w:rPr>
                <w:b/>
                <w:sz w:val="20"/>
                <w:szCs w:val="20"/>
                <w:lang w:val="sr-Cyrl-CS" w:eastAsia="en-GB"/>
              </w:rPr>
              <w:t>3.1.2.</w:t>
            </w:r>
          </w:p>
          <w:p w:rsidR="0017553A" w:rsidRDefault="0017553A">
            <w:pPr>
              <w:spacing w:after="0"/>
              <w:rPr>
                <w:b/>
                <w:sz w:val="20"/>
                <w:szCs w:val="20"/>
                <w:lang w:eastAsia="en-GB"/>
              </w:rPr>
            </w:pPr>
          </w:p>
          <w:p w:rsidR="0017553A" w:rsidRDefault="0017553A">
            <w:pPr>
              <w:spacing w:after="0"/>
              <w:rPr>
                <w:b/>
                <w:sz w:val="20"/>
                <w:szCs w:val="20"/>
                <w:lang w:eastAsia="en-GB"/>
              </w:rPr>
            </w:pPr>
          </w:p>
          <w:p w:rsidR="0017553A" w:rsidRDefault="0017553A">
            <w:pPr>
              <w:spacing w:after="0"/>
              <w:rPr>
                <w:b/>
                <w:sz w:val="20"/>
                <w:szCs w:val="20"/>
                <w:lang w:eastAsia="en-GB"/>
              </w:rPr>
            </w:pPr>
          </w:p>
          <w:p w:rsidR="0017553A" w:rsidRDefault="0017553A">
            <w:pPr>
              <w:spacing w:after="0"/>
              <w:rPr>
                <w:b/>
                <w:sz w:val="20"/>
                <w:szCs w:val="20"/>
                <w:lang w:eastAsia="en-GB"/>
              </w:rPr>
            </w:pPr>
          </w:p>
          <w:p w:rsidR="0017553A" w:rsidRDefault="0017553A">
            <w:pPr>
              <w:spacing w:after="0"/>
              <w:rPr>
                <w:b/>
                <w:sz w:val="20"/>
                <w:szCs w:val="20"/>
                <w:lang w:eastAsia="en-GB"/>
              </w:rPr>
            </w:pPr>
          </w:p>
          <w:p w:rsidR="0017553A" w:rsidRDefault="0017553A">
            <w:pPr>
              <w:spacing w:after="0"/>
              <w:rPr>
                <w:b/>
                <w:sz w:val="20"/>
                <w:szCs w:val="20"/>
                <w:lang w:eastAsia="en-GB"/>
              </w:rPr>
            </w:pPr>
          </w:p>
          <w:p w:rsidR="0017553A" w:rsidRDefault="0017553A">
            <w:pPr>
              <w:spacing w:after="0"/>
              <w:rPr>
                <w:b/>
                <w:sz w:val="20"/>
                <w:szCs w:val="20"/>
                <w:lang w:eastAsia="en-GB"/>
              </w:rPr>
            </w:pPr>
          </w:p>
          <w:p w:rsidR="0017553A" w:rsidRDefault="0017553A">
            <w:pPr>
              <w:spacing w:after="0"/>
              <w:rPr>
                <w:b/>
                <w:sz w:val="20"/>
                <w:szCs w:val="20"/>
                <w:lang w:eastAsia="en-GB"/>
              </w:rPr>
            </w:pPr>
          </w:p>
          <w:p w:rsidR="0017553A" w:rsidRDefault="0017553A">
            <w:pPr>
              <w:spacing w:after="0"/>
              <w:rPr>
                <w:b/>
                <w:sz w:val="20"/>
                <w:szCs w:val="20"/>
                <w:lang w:eastAsia="en-GB"/>
              </w:rPr>
            </w:pPr>
          </w:p>
          <w:p w:rsidR="0017553A" w:rsidRDefault="0017553A">
            <w:pPr>
              <w:spacing w:after="0"/>
              <w:rPr>
                <w:b/>
                <w:sz w:val="20"/>
                <w:szCs w:val="20"/>
                <w:lang w:eastAsia="en-GB"/>
              </w:rPr>
            </w:pPr>
          </w:p>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hideMark/>
          </w:tcPr>
          <w:p w:rsidR="0017553A" w:rsidRDefault="0017553A">
            <w:pPr>
              <w:pStyle w:val="stil1tekst"/>
              <w:ind w:left="0" w:right="0" w:firstLine="0"/>
              <w:jc w:val="left"/>
              <w:rPr>
                <w:strike/>
                <w:sz w:val="20"/>
                <w:szCs w:val="20"/>
              </w:rPr>
            </w:pPr>
            <w:r>
              <w:rPr>
                <w:i/>
                <w:iCs/>
                <w:strike/>
                <w:sz w:val="20"/>
                <w:szCs w:val="20"/>
              </w:rPr>
              <w:lastRenderedPageBreak/>
              <w:t>стaндард</w:t>
            </w:r>
            <w:r>
              <w:rPr>
                <w:strike/>
                <w:sz w:val="20"/>
                <w:szCs w:val="20"/>
              </w:rPr>
              <w:t xml:space="preserve"> је јавно доступан документ, утврђен консензусом и донет од признатог тела, у коме се за општу и вишекратну употребу утврђују правила, захтеви, карактеристике, упутства, препоруке или смернице за активности или њихове резултате, ради постизања оптималног нивоа уређености у одређеној области у односу на постојеће или могуће проблеме;</w:t>
            </w:r>
          </w:p>
          <w:p w:rsidR="0017553A" w:rsidRDefault="0017553A">
            <w:pPr>
              <w:tabs>
                <w:tab w:val="left" w:pos="142"/>
                <w:tab w:val="left" w:pos="284"/>
              </w:tabs>
              <w:rPr>
                <w:sz w:val="20"/>
                <w:szCs w:val="20"/>
                <w:lang w:val="sr-Cyrl-CS" w:eastAsia="en-GB"/>
              </w:rPr>
            </w:pPr>
            <w:r>
              <w:rPr>
                <w:sz w:val="20"/>
                <w:szCs w:val="20"/>
              </w:rPr>
              <w:lastRenderedPageBreak/>
              <w:t xml:space="preserve">СТАНДАРД ЈЕ ТЕХНИЧКА СПЕЦИФИКАЦИЈА КОЈУ ЈЕ ДОНЕЛО </w:t>
            </w:r>
            <w:r>
              <w:t xml:space="preserve"> </w:t>
            </w:r>
            <w:r>
              <w:rPr>
                <w:sz w:val="20"/>
                <w:szCs w:val="20"/>
              </w:rPr>
              <w:t>НАЦИОНАЛНО  ТЕЛО ЗА СТАНДАРДИЗАЦИЈУ ЗА ВИШЕКРАТНУ ИЛИ СТАЛНУ УПОТРЕБУ СА КОЈОМ УСАГЛАШЕНОСТ ПРОИЗВОДА, ПРОЦЕСА И УСЛУГА НИЈЕ ОБАВЕЗНА</w:t>
            </w: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lastRenderedPageBreak/>
              <w:t>ПУ</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ab/>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Height w:val="1062"/>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eastAsia="en-GB"/>
              </w:rPr>
              <w:lastRenderedPageBreak/>
              <w:t>2.1.1.</w:t>
            </w:r>
            <w:r>
              <w:rPr>
                <w:b/>
                <w:sz w:val="20"/>
                <w:szCs w:val="20"/>
                <w:lang w:val="sr-Latn-CS" w:eastAsia="en-GB"/>
              </w:rPr>
              <w:t>a)</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rPr>
            </w:pPr>
            <w:r>
              <w:rPr>
                <w:sz w:val="20"/>
                <w:szCs w:val="20"/>
                <w:lang w:eastAsia="en-GB"/>
              </w:rPr>
              <w:t xml:space="preserve">‘international standard’ means a standard adopted by an international standardisation body; </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val="sr-Cyrl-CS" w:eastAsia="en-GB"/>
              </w:rPr>
              <w:t>0.1</w:t>
            </w:r>
          </w:p>
          <w:p w:rsidR="0017553A" w:rsidRDefault="0017553A">
            <w:pPr>
              <w:spacing w:after="0"/>
              <w:rPr>
                <w:b/>
                <w:sz w:val="20"/>
                <w:szCs w:val="20"/>
                <w:lang w:val="sr-Cyrl-CS" w:eastAsia="en-GB"/>
              </w:rPr>
            </w:pPr>
            <w:r>
              <w:rPr>
                <w:b/>
                <w:sz w:val="20"/>
                <w:szCs w:val="20"/>
                <w:lang w:val="sr-Cyrl-CS" w:eastAsia="en-GB"/>
              </w:rPr>
              <w:t>3.1. 3.</w:t>
            </w:r>
          </w:p>
          <w:p w:rsidR="0017553A" w:rsidRDefault="0017553A">
            <w:pPr>
              <w:spacing w:after="0"/>
              <w:rPr>
                <w:b/>
                <w:sz w:val="20"/>
                <w:szCs w:val="20"/>
                <w:lang w:val="sr-Cyrl-CS" w:eastAsia="en-GB"/>
              </w:rPr>
            </w:pPr>
          </w:p>
          <w:p w:rsidR="0017553A" w:rsidRDefault="0017553A">
            <w:pPr>
              <w:spacing w:after="0"/>
              <w:rPr>
                <w:b/>
                <w:sz w:val="20"/>
                <w:szCs w:val="20"/>
                <w:lang w:val="en-GB" w:eastAsia="en-GB"/>
              </w:rPr>
            </w:pPr>
          </w:p>
        </w:tc>
        <w:tc>
          <w:tcPr>
            <w:tcW w:w="3827" w:type="dxa"/>
            <w:tcBorders>
              <w:top w:val="single" w:sz="4" w:space="0" w:color="000000"/>
              <w:left w:val="single" w:sz="4" w:space="0" w:color="000000"/>
              <w:bottom w:val="single" w:sz="4" w:space="0" w:color="000000"/>
              <w:right w:val="single" w:sz="4" w:space="0" w:color="000000"/>
            </w:tcBorders>
            <w:hideMark/>
          </w:tcPr>
          <w:p w:rsidR="0017553A" w:rsidRDefault="0017553A">
            <w:pPr>
              <w:pStyle w:val="1tekst"/>
              <w:ind w:left="34" w:firstLine="0"/>
              <w:jc w:val="left"/>
              <w:rPr>
                <w:rFonts w:ascii="Times New Roman" w:hAnsi="Times New Roman" w:cs="Times New Roman"/>
                <w:lang w:val="sr-Cyrl-CS" w:eastAsia="en-GB"/>
              </w:rPr>
            </w:pPr>
            <w:r>
              <w:rPr>
                <w:rFonts w:ascii="Times New Roman" w:hAnsi="Times New Roman" w:cs="Times New Roman"/>
                <w:i/>
                <w:iCs/>
                <w:lang w:val="ru-RU" w:eastAsia="en-GB"/>
              </w:rPr>
              <w:t>међународни стандард</w:t>
            </w:r>
            <w:r>
              <w:rPr>
                <w:rFonts w:ascii="Times New Roman" w:hAnsi="Times New Roman" w:cs="Times New Roman"/>
                <w:lang w:val="ru-RU" w:eastAsia="en-GB"/>
              </w:rPr>
              <w:t xml:space="preserve"> је стандард који је донела међународна организација за стандардизацију;</w:t>
            </w: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rFonts w:ascii="Times New Roman" w:hAnsi="Times New Roman"/>
                <w:b/>
                <w:sz w:val="20"/>
                <w:szCs w:val="20"/>
                <w:lang w:val="sr-Cyrl-CS" w:eastAsia="en-GB"/>
              </w:rPr>
            </w:pPr>
            <w:r>
              <w:rPr>
                <w:b/>
                <w:sz w:val="20"/>
                <w:szCs w:val="20"/>
                <w:lang w:val="sr-Cyrl-CS" w:eastAsia="en-GB"/>
              </w:rPr>
              <w:t>ПУ</w:t>
            </w:r>
          </w:p>
        </w:tc>
        <w:tc>
          <w:tcPr>
            <w:tcW w:w="2410" w:type="dxa"/>
            <w:gridSpan w:val="2"/>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Height w:val="1480"/>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2.1.1.b)</w:t>
            </w:r>
          </w:p>
        </w:tc>
        <w:tc>
          <w:tcPr>
            <w:tcW w:w="4583" w:type="dxa"/>
            <w:gridSpan w:val="2"/>
            <w:tcBorders>
              <w:top w:val="single" w:sz="4" w:space="0" w:color="000000"/>
              <w:left w:val="single" w:sz="4" w:space="0" w:color="000000"/>
              <w:bottom w:val="single" w:sz="4" w:space="0" w:color="000000"/>
              <w:right w:val="single" w:sz="4" w:space="0" w:color="000000"/>
            </w:tcBorders>
          </w:tcPr>
          <w:p w:rsidR="0017553A" w:rsidRDefault="0017553A">
            <w:pPr>
              <w:rPr>
                <w:sz w:val="20"/>
                <w:szCs w:val="20"/>
                <w:lang w:eastAsia="en-GB"/>
              </w:rPr>
            </w:pPr>
            <w:r>
              <w:rPr>
                <w:sz w:val="20"/>
                <w:szCs w:val="20"/>
                <w:lang w:eastAsia="en-GB"/>
              </w:rPr>
              <w:t>‘European standard’ means a standard adopted by a European standardisation organisation;</w:t>
            </w:r>
          </w:p>
          <w:p w:rsidR="0017553A" w:rsidRDefault="0017553A">
            <w:pPr>
              <w:rPr>
                <w:sz w:val="20"/>
                <w:szCs w:val="20"/>
                <w:lang w:eastAsia="en-GB"/>
              </w:rPr>
            </w:pPr>
          </w:p>
          <w:p w:rsidR="0017553A" w:rsidRDefault="0017553A">
            <w:pPr>
              <w:rPr>
                <w:sz w:val="20"/>
                <w:szCs w:val="20"/>
                <w:lang w:val="sr-Cyrl-CS" w:eastAsia="en-GB"/>
              </w:rPr>
            </w:pP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val="sr-Cyrl-CS" w:eastAsia="en-GB"/>
              </w:rPr>
              <w:t>0.1</w:t>
            </w:r>
          </w:p>
          <w:p w:rsidR="0017553A" w:rsidRDefault="0017553A">
            <w:pPr>
              <w:spacing w:after="0"/>
              <w:rPr>
                <w:b/>
                <w:sz w:val="20"/>
                <w:szCs w:val="20"/>
                <w:lang w:val="sr-Cyrl-CS" w:eastAsia="en-GB"/>
              </w:rPr>
            </w:pPr>
            <w:r>
              <w:rPr>
                <w:b/>
                <w:sz w:val="20"/>
                <w:szCs w:val="20"/>
                <w:lang w:val="sr-Cyrl-CS" w:eastAsia="en-GB"/>
              </w:rPr>
              <w:t xml:space="preserve">3.1.4. </w:t>
            </w: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hideMark/>
          </w:tcPr>
          <w:p w:rsidR="0017553A" w:rsidRDefault="0017553A">
            <w:pPr>
              <w:pStyle w:val="stil1tekst"/>
              <w:ind w:left="0" w:right="0" w:firstLine="0"/>
              <w:rPr>
                <w:sz w:val="20"/>
                <w:szCs w:val="20"/>
                <w:lang w:val="sr-Cyrl-CS" w:eastAsia="en-GB"/>
              </w:rPr>
            </w:pPr>
            <w:r>
              <w:rPr>
                <w:i/>
                <w:iCs/>
                <w:sz w:val="20"/>
                <w:szCs w:val="20"/>
              </w:rPr>
              <w:t>европски стандард</w:t>
            </w:r>
            <w:r>
              <w:rPr>
                <w:sz w:val="20"/>
                <w:szCs w:val="20"/>
              </w:rPr>
              <w:t xml:space="preserve"> је стандард који је донела европска организација за стандардизацију;</w:t>
            </w: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ПУ</w:t>
            </w:r>
          </w:p>
        </w:tc>
        <w:tc>
          <w:tcPr>
            <w:tcW w:w="2410" w:type="dxa"/>
            <w:gridSpan w:val="2"/>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eastAsia="en-GB"/>
              </w:rPr>
              <w:t>2.1.1.c)</w:t>
            </w:r>
          </w:p>
        </w:tc>
        <w:tc>
          <w:tcPr>
            <w:tcW w:w="4583" w:type="dxa"/>
            <w:gridSpan w:val="2"/>
            <w:tcBorders>
              <w:top w:val="single" w:sz="4" w:space="0" w:color="000000"/>
              <w:left w:val="single" w:sz="4" w:space="0" w:color="000000"/>
              <w:bottom w:val="single" w:sz="4" w:space="0" w:color="000000"/>
              <w:right w:val="single" w:sz="4" w:space="0" w:color="000000"/>
            </w:tcBorders>
          </w:tcPr>
          <w:p w:rsidR="0017553A" w:rsidRDefault="0017553A">
            <w:pPr>
              <w:pStyle w:val="CM4"/>
              <w:rPr>
                <w:rFonts w:ascii="Times New Roman" w:hAnsi="Times New Roman"/>
                <w:sz w:val="20"/>
                <w:szCs w:val="20"/>
                <w:lang w:eastAsia="en-GB"/>
              </w:rPr>
            </w:pPr>
            <w:r>
              <w:rPr>
                <w:rFonts w:ascii="Times New Roman" w:hAnsi="Times New Roman"/>
                <w:sz w:val="20"/>
                <w:szCs w:val="20"/>
                <w:lang w:eastAsia="en-GB"/>
              </w:rPr>
              <w:t xml:space="preserve"> ‘harmonised standard’ means a European standard adopted on the basis of a request made by the Commission for the application of Union harmonisation legislation; </w:t>
            </w:r>
          </w:p>
          <w:p w:rsidR="0017553A" w:rsidRDefault="0017553A">
            <w:pPr>
              <w:spacing w:after="0"/>
              <w:rPr>
                <w:rFonts w:ascii="Times New Roman" w:hAnsi="Times New Roman"/>
                <w:b/>
                <w:sz w:val="20"/>
                <w:szCs w:val="20"/>
                <w:lang w:val="sr-Cyrl-CS" w:eastAsia="en-GB"/>
              </w:rPr>
            </w:pP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val="sr-Cyrl-CS" w:eastAsia="en-GB"/>
              </w:rPr>
              <w:t>0.1</w:t>
            </w:r>
          </w:p>
          <w:p w:rsidR="0017553A" w:rsidRDefault="0017553A">
            <w:pPr>
              <w:spacing w:after="0"/>
              <w:rPr>
                <w:b/>
                <w:sz w:val="20"/>
                <w:szCs w:val="20"/>
                <w:lang w:val="sr-Cyrl-CS" w:eastAsia="en-GB"/>
              </w:rPr>
            </w:pPr>
            <w:r>
              <w:rPr>
                <w:b/>
                <w:sz w:val="20"/>
                <w:szCs w:val="20"/>
                <w:lang w:val="sr-Cyrl-CS" w:eastAsia="en-GB"/>
              </w:rPr>
              <w:t>3.1.</w:t>
            </w:r>
            <w:r>
              <w:rPr>
                <w:b/>
                <w:sz w:val="20"/>
                <w:szCs w:val="20"/>
                <w:lang w:eastAsia="en-GB"/>
              </w:rPr>
              <w:t>5</w:t>
            </w:r>
            <w:r>
              <w:rPr>
                <w:b/>
                <w:sz w:val="20"/>
                <w:szCs w:val="20"/>
                <w:lang w:val="sr-Cyrl-CS" w:eastAsia="en-GB"/>
              </w:rPr>
              <w:t xml:space="preserve">. </w:t>
            </w:r>
          </w:p>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rPr>
              <w:t xml:space="preserve">ХАРМОНИЗОВАНИ СТАНДАРД ЈЕ ЕВРОПСКИ СТАНДАРД КОЈИ ЈЕ ДОНЕТ НА ОСНОВУ ЗАХТЕВА ЕВРОПСКЕ КОМИСИЈЕ ЗА ПРИМЕНУ У ХАРМОНИЗОВАНОМ ЗАКОНОДАВСТВУ ЕВРОПСКЕ УНИЈЕ </w:t>
            </w: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ПУ</w:t>
            </w:r>
          </w:p>
        </w:tc>
        <w:tc>
          <w:tcPr>
            <w:tcW w:w="2410" w:type="dxa"/>
            <w:gridSpan w:val="2"/>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Height w:val="813"/>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lastRenderedPageBreak/>
              <w:t>2.1.1.d)</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rPr>
            </w:pPr>
            <w:r>
              <w:rPr>
                <w:sz w:val="20"/>
                <w:szCs w:val="20"/>
                <w:lang w:eastAsia="en-GB"/>
              </w:rPr>
              <w:t>‘national standard’ means a standard adopted by a national standardisation body;</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val="sr-Cyrl-CS" w:eastAsia="en-GB"/>
              </w:rPr>
              <w:t>0.1.</w:t>
            </w:r>
          </w:p>
          <w:p w:rsidR="0017553A" w:rsidRDefault="0017553A">
            <w:pPr>
              <w:spacing w:after="0"/>
              <w:rPr>
                <w:b/>
                <w:sz w:val="20"/>
                <w:szCs w:val="20"/>
                <w:lang w:val="sr-Cyrl-CS" w:eastAsia="en-GB"/>
              </w:rPr>
            </w:pPr>
            <w:r>
              <w:rPr>
                <w:b/>
                <w:sz w:val="20"/>
                <w:szCs w:val="20"/>
                <w:lang w:val="sr-Cyrl-CS" w:eastAsia="en-GB"/>
              </w:rPr>
              <w:t>3.1.</w:t>
            </w:r>
            <w:r>
              <w:rPr>
                <w:b/>
                <w:sz w:val="20"/>
                <w:szCs w:val="20"/>
                <w:lang w:eastAsia="en-GB"/>
              </w:rPr>
              <w:t>6</w:t>
            </w:r>
            <w:r>
              <w:rPr>
                <w:b/>
                <w:sz w:val="20"/>
                <w:szCs w:val="20"/>
                <w:lang w:val="sr-Cyrl-CS" w:eastAsia="en-GB"/>
              </w:rPr>
              <w:t xml:space="preserve">. </w:t>
            </w:r>
          </w:p>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hideMark/>
          </w:tcPr>
          <w:p w:rsidR="0017553A" w:rsidRDefault="0017553A">
            <w:pPr>
              <w:rPr>
                <w:i/>
                <w:iCs/>
                <w:sz w:val="20"/>
                <w:szCs w:val="20"/>
                <w:lang w:val="en-GB"/>
              </w:rPr>
            </w:pPr>
            <w:r>
              <w:rPr>
                <w:sz w:val="20"/>
                <w:szCs w:val="20"/>
              </w:rPr>
              <w:t xml:space="preserve">НАЦИОНАЛНИ СТАНДАРД ЈЕ СТАНДАРД КОЈИ ЈЕ ДОНЕЛО НАЦИОНАЛНО ТЕЛО ЗА </w:t>
            </w:r>
            <w:r>
              <w:rPr>
                <w:sz w:val="20"/>
                <w:szCs w:val="20"/>
                <w:lang w:val="sr-Cyrl-CS"/>
              </w:rPr>
              <w:t>С</w:t>
            </w:r>
            <w:r>
              <w:rPr>
                <w:sz w:val="20"/>
                <w:szCs w:val="20"/>
              </w:rPr>
              <w:t>ТАНДАРДИЗАЦИЈУ</w:t>
            </w:r>
            <w:r>
              <w:rPr>
                <w:sz w:val="20"/>
                <w:szCs w:val="20"/>
                <w:lang w:val="sr-Cyrl-CS"/>
              </w:rPr>
              <w:t>;</w:t>
            </w: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ПУ</w:t>
            </w:r>
          </w:p>
        </w:tc>
        <w:tc>
          <w:tcPr>
            <w:tcW w:w="2410" w:type="dxa"/>
            <w:gridSpan w:val="2"/>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Height w:val="4527"/>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eastAsia="en-GB"/>
              </w:rPr>
              <w:t>2.1.2.</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b/>
                <w:sz w:val="20"/>
                <w:szCs w:val="20"/>
                <w:lang w:val="sr-Cyrl-CS" w:eastAsia="en-GB"/>
              </w:rPr>
            </w:pPr>
            <w:r>
              <w:rPr>
                <w:sz w:val="20"/>
                <w:szCs w:val="20"/>
                <w:lang w:eastAsia="en-GB"/>
              </w:rPr>
              <w:t xml:space="preserve">‘European standardisation deliverable’ means any other technical specification than a European standard, adopted by a European standardisation organisation for repeated or continuous application and with which compliance is not compulsory; </w:t>
            </w:r>
          </w:p>
        </w:tc>
        <w:tc>
          <w:tcPr>
            <w:tcW w:w="993"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0.1</w:t>
            </w:r>
          </w:p>
          <w:p w:rsidR="0017553A" w:rsidRDefault="0017553A">
            <w:pPr>
              <w:spacing w:after="0"/>
              <w:rPr>
                <w:b/>
                <w:sz w:val="20"/>
                <w:szCs w:val="20"/>
                <w:lang w:val="sr-Cyrl-CS" w:eastAsia="en-GB"/>
              </w:rPr>
            </w:pPr>
            <w:r>
              <w:rPr>
                <w:b/>
                <w:sz w:val="20"/>
                <w:szCs w:val="20"/>
                <w:lang w:val="sr-Cyrl-CS" w:eastAsia="en-GB"/>
              </w:rPr>
              <w:t>3.1.</w:t>
            </w:r>
            <w:r>
              <w:rPr>
                <w:b/>
                <w:sz w:val="20"/>
                <w:szCs w:val="20"/>
                <w:lang w:eastAsia="en-GB"/>
              </w:rPr>
              <w:t>8</w:t>
            </w:r>
            <w:r>
              <w:rPr>
                <w:b/>
                <w:sz w:val="20"/>
                <w:szCs w:val="20"/>
                <w:lang w:val="sr-Cyrl-CS" w:eastAsia="en-GB"/>
              </w:rPr>
              <w:t>.</w:t>
            </w:r>
          </w:p>
        </w:tc>
        <w:tc>
          <w:tcPr>
            <w:tcW w:w="3827" w:type="dxa"/>
            <w:tcBorders>
              <w:top w:val="single" w:sz="4" w:space="0" w:color="000000"/>
              <w:left w:val="single" w:sz="4" w:space="0" w:color="000000"/>
              <w:bottom w:val="single" w:sz="4" w:space="0" w:color="000000"/>
              <w:right w:val="single" w:sz="4" w:space="0" w:color="000000"/>
            </w:tcBorders>
            <w:hideMark/>
          </w:tcPr>
          <w:p w:rsidR="0017553A" w:rsidRDefault="0017553A">
            <w:pPr>
              <w:pStyle w:val="stil1tekst"/>
              <w:ind w:left="0" w:right="0" w:firstLine="0"/>
              <w:jc w:val="left"/>
              <w:rPr>
                <w:strike/>
                <w:sz w:val="20"/>
                <w:szCs w:val="20"/>
              </w:rPr>
            </w:pPr>
            <w:r>
              <w:rPr>
                <w:i/>
                <w:iCs/>
                <w:strike/>
                <w:sz w:val="20"/>
                <w:szCs w:val="20"/>
              </w:rPr>
              <w:t>сродни документ</w:t>
            </w:r>
            <w:r>
              <w:rPr>
                <w:strike/>
                <w:sz w:val="20"/>
                <w:szCs w:val="20"/>
              </w:rPr>
              <w:t xml:space="preserve"> је документ (нпр. техничка спецификација, технички извештај, упутство) који је донела међународна или европска организација за стандардизацију, односно национално тело за стандардизацију у Републици Србији и који је доступан јавности, а не испуњава услове да буде донет као српски стандард; </w:t>
            </w:r>
          </w:p>
          <w:p w:rsidR="0017553A" w:rsidRDefault="0017553A">
            <w:pPr>
              <w:pStyle w:val="1tekst"/>
              <w:ind w:left="0" w:firstLine="0"/>
              <w:jc w:val="left"/>
              <w:rPr>
                <w:rFonts w:ascii="Times New Roman" w:hAnsi="Times New Roman" w:cs="Times New Roman"/>
                <w:lang w:val="sr-Cyrl-CS" w:eastAsia="en-GB"/>
              </w:rPr>
            </w:pPr>
            <w:r>
              <w:rPr>
                <w:rFonts w:ascii="Times New Roman" w:hAnsi="Times New Roman" w:cs="Times New Roman"/>
              </w:rPr>
              <w:t>СРОДНИ ДОКУМЕНТ ЈЕ БИЛО КОЈА ТЕХНИЧКА СПЕЦИФИКАЦИЈА</w:t>
            </w:r>
            <w:r>
              <w:rPr>
                <w:rFonts w:ascii="Times New Roman" w:hAnsi="Times New Roman" w:cs="Times New Roman"/>
                <w:lang w:val="sr-Cyrl-ME"/>
              </w:rPr>
              <w:t>, А КОЈА НИЈЕ СТАНДАРД,</w:t>
            </w:r>
            <w:r>
              <w:rPr>
                <w:rFonts w:ascii="Times New Roman" w:hAnsi="Times New Roman" w:cs="Times New Roman"/>
                <w:lang w:val="en-GB"/>
              </w:rPr>
              <w:t xml:space="preserve"> </w:t>
            </w:r>
            <w:r>
              <w:rPr>
                <w:rFonts w:ascii="Times New Roman" w:hAnsi="Times New Roman" w:cs="Times New Roman"/>
              </w:rPr>
              <w:t xml:space="preserve"> КОЈУ ЈЕ ДОНЕЛА МЕЂУНАРОДНА ИЛИ ЕВРОПСКА ОРГАНИЗАЦИЈА ЗА СТАНДАРДИЗАЦИЈУ, ОДНОСНО НАЦИОНАЛНО ТЕЛО ЗА СТАНДАРДИЗАЦИЈУ, ЗА ВИШЕКРАТНУ ИЛИ СТАЛНУ УПОТРЕБУ И СА КОЈОМ УСАГЛАШЕНОСТ ПРОИЗВОДА, ПРОЦЕСА И УСЛУГА НИЈЕ ОБАВЕЗНА, А КОЈА НЕ ИСПУЊАВА УСЛОВЕ ДА БУДЕ ДОНЕТА КАО СТАНДАРД</w:t>
            </w: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rFonts w:ascii="Times New Roman" w:hAnsi="Times New Roman"/>
                <w:b/>
                <w:sz w:val="20"/>
                <w:szCs w:val="20"/>
                <w:lang w:val="sr-Cyrl-CS" w:eastAsia="en-GB"/>
              </w:rPr>
            </w:pPr>
            <w:r>
              <w:rPr>
                <w:b/>
                <w:sz w:val="20"/>
                <w:szCs w:val="20"/>
                <w:lang w:val="sr-Cyrl-CS" w:eastAsia="en-GB"/>
              </w:rPr>
              <w:t>ПУ</w:t>
            </w:r>
          </w:p>
        </w:tc>
        <w:tc>
          <w:tcPr>
            <w:tcW w:w="2410" w:type="dxa"/>
            <w:gridSpan w:val="2"/>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eastAsia="en-GB"/>
              </w:rPr>
              <w:t>2.1.3.</w:t>
            </w:r>
          </w:p>
        </w:tc>
        <w:tc>
          <w:tcPr>
            <w:tcW w:w="4583" w:type="dxa"/>
            <w:gridSpan w:val="2"/>
            <w:tcBorders>
              <w:top w:val="single" w:sz="4" w:space="0" w:color="000000"/>
              <w:left w:val="single" w:sz="4" w:space="0" w:color="000000"/>
              <w:bottom w:val="single" w:sz="4" w:space="0" w:color="000000"/>
              <w:right w:val="single" w:sz="4" w:space="0" w:color="000000"/>
            </w:tcBorders>
          </w:tcPr>
          <w:p w:rsidR="0017553A" w:rsidRDefault="0017553A">
            <w:pPr>
              <w:pStyle w:val="CM4"/>
              <w:jc w:val="both"/>
              <w:rPr>
                <w:rFonts w:ascii="Times New Roman" w:hAnsi="Times New Roman"/>
                <w:sz w:val="20"/>
                <w:szCs w:val="20"/>
                <w:lang w:eastAsia="en-GB"/>
              </w:rPr>
            </w:pPr>
            <w:r>
              <w:rPr>
                <w:rFonts w:ascii="Times New Roman" w:hAnsi="Times New Roman"/>
                <w:sz w:val="20"/>
                <w:szCs w:val="20"/>
                <w:lang w:eastAsia="en-GB"/>
              </w:rPr>
              <w:t xml:space="preserve">‘‘draft standard’ means a document containing the text of the technical specifications concerning a given subject, which is being considered for adoption in accordance with the relevant standards procedure, as that document stands after the preparatory work and as circulated for public comment or scrutiny; </w:t>
            </w:r>
          </w:p>
          <w:p w:rsidR="0017553A" w:rsidRDefault="0017553A">
            <w:pPr>
              <w:spacing w:after="0"/>
              <w:rPr>
                <w:rFonts w:ascii="Times New Roman" w:hAnsi="Times New Roman"/>
                <w:sz w:val="20"/>
                <w:szCs w:val="20"/>
                <w:lang w:val="sr-Cyrl-CS" w:eastAsia="en-GB"/>
              </w:rPr>
            </w:pPr>
          </w:p>
          <w:p w:rsidR="0017553A" w:rsidRDefault="0017553A">
            <w:pPr>
              <w:spacing w:after="0"/>
              <w:rPr>
                <w:b/>
                <w:sz w:val="20"/>
                <w:szCs w:val="20"/>
                <w:lang w:val="sr-Cyrl-CS" w:eastAsia="en-GB"/>
              </w:rPr>
            </w:pPr>
          </w:p>
        </w:tc>
        <w:tc>
          <w:tcPr>
            <w:tcW w:w="993"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lastRenderedPageBreak/>
              <w:t>0.1.</w:t>
            </w:r>
          </w:p>
          <w:p w:rsidR="0017553A" w:rsidRDefault="0017553A">
            <w:pPr>
              <w:spacing w:after="0"/>
              <w:rPr>
                <w:b/>
                <w:sz w:val="20"/>
                <w:szCs w:val="20"/>
                <w:lang w:val="sr-Cyrl-CS" w:eastAsia="en-GB"/>
              </w:rPr>
            </w:pPr>
            <w:r>
              <w:rPr>
                <w:b/>
                <w:sz w:val="20"/>
                <w:szCs w:val="20"/>
                <w:lang w:val="sr-Cyrl-CS" w:eastAsia="en-GB"/>
              </w:rPr>
              <w:t>3.1.9.</w:t>
            </w: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autoSpaceDE w:val="0"/>
              <w:autoSpaceDN w:val="0"/>
              <w:adjustRightInd w:val="0"/>
              <w:spacing w:after="60"/>
              <w:ind w:left="33" w:right="191" w:hanging="284"/>
              <w:rPr>
                <w:sz w:val="20"/>
                <w:szCs w:val="20"/>
                <w:lang w:val="en-GB"/>
              </w:rPr>
            </w:pPr>
            <w:r>
              <w:rPr>
                <w:sz w:val="20"/>
                <w:szCs w:val="20"/>
              </w:rPr>
              <w:t xml:space="preserve">Н  </w:t>
            </w:r>
            <w:r>
              <w:rPr>
                <w:i/>
                <w:sz w:val="20"/>
                <w:szCs w:val="20"/>
              </w:rPr>
              <w:t>НАЦРТ СТАНДАРДА</w:t>
            </w:r>
            <w:r>
              <w:rPr>
                <w:sz w:val="20"/>
                <w:szCs w:val="20"/>
              </w:rPr>
              <w:t xml:space="preserve"> ЈЕ ТЕХНИЧК</w:t>
            </w:r>
            <w:r>
              <w:rPr>
                <w:sz w:val="20"/>
                <w:szCs w:val="20"/>
                <w:lang w:val="sr-Cyrl-RS"/>
              </w:rPr>
              <w:t>А</w:t>
            </w:r>
            <w:r>
              <w:rPr>
                <w:sz w:val="20"/>
                <w:szCs w:val="20"/>
              </w:rPr>
              <w:t xml:space="preserve"> СПЕЦИФИКАЦИЈА</w:t>
            </w:r>
            <w:r>
              <w:rPr>
                <w:sz w:val="20"/>
                <w:szCs w:val="20"/>
                <w:lang w:val="sr-Cyrl-RS"/>
              </w:rPr>
              <w:t xml:space="preserve"> О </w:t>
            </w:r>
            <w:r>
              <w:rPr>
                <w:sz w:val="20"/>
                <w:szCs w:val="20"/>
              </w:rPr>
              <w:t>ОДРЕЂЕН</w:t>
            </w:r>
            <w:r>
              <w:rPr>
                <w:sz w:val="20"/>
                <w:szCs w:val="20"/>
                <w:lang w:val="sr-Cyrl-RS"/>
              </w:rPr>
              <w:t>ОМ</w:t>
            </w:r>
            <w:r>
              <w:rPr>
                <w:sz w:val="20"/>
                <w:szCs w:val="20"/>
              </w:rPr>
              <w:t xml:space="preserve"> ПРЕДМЕТ</w:t>
            </w:r>
            <w:r>
              <w:rPr>
                <w:sz w:val="20"/>
                <w:szCs w:val="20"/>
                <w:lang w:val="sr-Cyrl-RS"/>
              </w:rPr>
              <w:t>У</w:t>
            </w:r>
            <w:r>
              <w:rPr>
                <w:sz w:val="20"/>
                <w:szCs w:val="20"/>
              </w:rPr>
              <w:t xml:space="preserve"> СТАНДАРДИЗАЦИЈЕ</w:t>
            </w:r>
            <w:r>
              <w:rPr>
                <w:sz w:val="20"/>
                <w:szCs w:val="20"/>
                <w:lang w:val="sr-Cyrl-RS"/>
              </w:rPr>
              <w:t xml:space="preserve">, </w:t>
            </w:r>
            <w:r>
              <w:rPr>
                <w:sz w:val="20"/>
                <w:szCs w:val="20"/>
              </w:rPr>
              <w:t>КОЈ</w:t>
            </w:r>
            <w:r>
              <w:rPr>
                <w:sz w:val="20"/>
                <w:szCs w:val="20"/>
                <w:lang w:val="sr-Cyrl-CS"/>
              </w:rPr>
              <w:t>И</w:t>
            </w:r>
            <w:r>
              <w:rPr>
                <w:sz w:val="20"/>
                <w:szCs w:val="20"/>
              </w:rPr>
              <w:t xml:space="preserve"> СЕ РАЗМАТРА </w:t>
            </w:r>
            <w:r>
              <w:rPr>
                <w:sz w:val="20"/>
                <w:szCs w:val="20"/>
                <w:lang w:val="sr-Cyrl-RS"/>
              </w:rPr>
              <w:t xml:space="preserve">РАДИ </w:t>
            </w:r>
            <w:r>
              <w:rPr>
                <w:sz w:val="20"/>
                <w:szCs w:val="20"/>
              </w:rPr>
              <w:t>ДОНОШЕЊ</w:t>
            </w:r>
            <w:r>
              <w:rPr>
                <w:sz w:val="20"/>
                <w:szCs w:val="20"/>
                <w:lang w:val="sr-Cyrl-CS"/>
              </w:rPr>
              <w:t>А</w:t>
            </w:r>
            <w:r>
              <w:rPr>
                <w:sz w:val="20"/>
                <w:szCs w:val="20"/>
                <w:lang w:val="sr-Cyrl-RS"/>
              </w:rPr>
              <w:t xml:space="preserve"> И КОЈА СЕ, </w:t>
            </w:r>
            <w:r>
              <w:rPr>
                <w:sz w:val="20"/>
                <w:szCs w:val="20"/>
              </w:rPr>
              <w:t xml:space="preserve">У СКЛАДУ СА ПОСТУПКОМ ЗА </w:t>
            </w:r>
            <w:r>
              <w:rPr>
                <w:sz w:val="20"/>
                <w:szCs w:val="20"/>
              </w:rPr>
              <w:lastRenderedPageBreak/>
              <w:t>ДОНОШЕЊЕ СТАНДАРДА, НАКОН ФАЗА ПРИПРЕМЕ, СТАВЉА НА ЈАВНУ РАСПРАВУ ИЛИ РАЗМАТРАЊЕ;</w:t>
            </w:r>
          </w:p>
          <w:p w:rsidR="0017553A" w:rsidRDefault="0017553A">
            <w:pPr>
              <w:spacing w:after="0"/>
              <w:rPr>
                <w:b/>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highlight w:val="green"/>
                <w:lang w:val="sr-Cyrl-CS" w:eastAsia="en-GB"/>
              </w:rPr>
            </w:pPr>
            <w:r>
              <w:rPr>
                <w:b/>
                <w:sz w:val="20"/>
                <w:szCs w:val="20"/>
                <w:lang w:val="sr-Cyrl-CS" w:eastAsia="en-GB"/>
              </w:rPr>
              <w:lastRenderedPageBreak/>
              <w:t>ПУ</w:t>
            </w:r>
          </w:p>
        </w:tc>
        <w:tc>
          <w:tcPr>
            <w:tcW w:w="2410" w:type="dxa"/>
            <w:gridSpan w:val="2"/>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Height w:val="955"/>
        </w:trPr>
        <w:tc>
          <w:tcPr>
            <w:tcW w:w="1371"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eastAsia="en-GB"/>
              </w:rPr>
              <w:lastRenderedPageBreak/>
              <w:t>2.1.4.</w:t>
            </w:r>
          </w:p>
          <w:p w:rsidR="0017553A" w:rsidRDefault="0017553A">
            <w:pPr>
              <w:spacing w:after="0"/>
              <w:rPr>
                <w:b/>
                <w:sz w:val="20"/>
                <w:szCs w:val="20"/>
                <w:lang w:val="en-GB" w:eastAsia="en-GB"/>
              </w:rPr>
            </w:pP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pStyle w:val="CM4"/>
              <w:jc w:val="both"/>
              <w:rPr>
                <w:rFonts w:ascii="Times New Roman" w:hAnsi="Times New Roman"/>
                <w:sz w:val="20"/>
                <w:szCs w:val="20"/>
                <w:lang w:val="sr-Cyrl-CS" w:eastAsia="en-GB"/>
              </w:rPr>
            </w:pPr>
            <w:r>
              <w:rPr>
                <w:rFonts w:ascii="Times New Roman" w:hAnsi="Times New Roman"/>
                <w:sz w:val="20"/>
                <w:szCs w:val="20"/>
                <w:lang w:eastAsia="en-GB"/>
              </w:rPr>
              <w:t xml:space="preserve">‘technical specification’ means a document that prescribes technical requirements to be fulfilled by a product, process, service or system and which lays </w:t>
            </w:r>
          </w:p>
          <w:p w:rsidR="0017553A" w:rsidRDefault="0017553A">
            <w:pPr>
              <w:pStyle w:val="CM4"/>
              <w:jc w:val="both"/>
              <w:rPr>
                <w:rFonts w:ascii="Times New Roman" w:hAnsi="Times New Roman"/>
                <w:sz w:val="20"/>
                <w:szCs w:val="20"/>
                <w:lang w:val="sr-Cyrl-CS" w:eastAsia="en-GB"/>
              </w:rPr>
            </w:pPr>
            <w:r>
              <w:rPr>
                <w:rFonts w:ascii="Times New Roman" w:hAnsi="Times New Roman"/>
                <w:sz w:val="20"/>
                <w:szCs w:val="20"/>
                <w:lang w:eastAsia="en-GB"/>
              </w:rPr>
              <w:t xml:space="preserve">down onore of the following: </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rFonts w:ascii="Times New Roman" w:hAnsi="Times New Roman"/>
                <w:b/>
                <w:sz w:val="20"/>
                <w:szCs w:val="20"/>
                <w:lang w:val="sr-Cyrl-CS" w:eastAsia="en-GB"/>
              </w:rPr>
            </w:pPr>
            <w:r>
              <w:rPr>
                <w:b/>
                <w:sz w:val="20"/>
                <w:szCs w:val="20"/>
                <w:lang w:val="sr-Cyrl-CS" w:eastAsia="en-GB"/>
              </w:rPr>
              <w:t>0.1.</w:t>
            </w:r>
          </w:p>
          <w:p w:rsidR="0017553A" w:rsidRDefault="0017553A">
            <w:pPr>
              <w:spacing w:after="0"/>
              <w:rPr>
                <w:b/>
                <w:sz w:val="20"/>
                <w:szCs w:val="20"/>
                <w:lang w:val="sr-Cyrl-CS" w:eastAsia="en-GB"/>
              </w:rPr>
            </w:pPr>
            <w:r>
              <w:rPr>
                <w:b/>
                <w:sz w:val="20"/>
                <w:szCs w:val="20"/>
                <w:lang w:val="sr-Cyrl-CS" w:eastAsia="en-GB"/>
              </w:rPr>
              <w:t>3.1.10.</w:t>
            </w:r>
          </w:p>
          <w:p w:rsidR="0017553A" w:rsidRDefault="0017553A">
            <w:pPr>
              <w:spacing w:after="0"/>
              <w:rPr>
                <w:b/>
                <w:sz w:val="20"/>
                <w:szCs w:val="20"/>
                <w:lang w:eastAsia="en-GB"/>
              </w:rPr>
            </w:pPr>
          </w:p>
          <w:p w:rsidR="0017553A" w:rsidRDefault="0017553A">
            <w:pPr>
              <w:spacing w:after="0"/>
              <w:rPr>
                <w:b/>
                <w:sz w:val="20"/>
                <w:szCs w:val="20"/>
                <w:lang w:eastAsia="en-GB"/>
              </w:rPr>
            </w:pPr>
          </w:p>
          <w:p w:rsidR="0017553A" w:rsidRDefault="0017553A">
            <w:pPr>
              <w:spacing w:after="0"/>
              <w:rPr>
                <w:b/>
                <w:sz w:val="20"/>
                <w:szCs w:val="20"/>
                <w:lang w:val="en-GB"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ind w:right="191"/>
              <w:rPr>
                <w:sz w:val="20"/>
                <w:szCs w:val="20"/>
              </w:rPr>
            </w:pPr>
            <w:r>
              <w:rPr>
                <w:sz w:val="20"/>
                <w:szCs w:val="20"/>
              </w:rPr>
              <w:t xml:space="preserve">ТЕХНИЧКА </w:t>
            </w:r>
            <w:r>
              <w:rPr>
                <w:sz w:val="20"/>
                <w:szCs w:val="20"/>
                <w:lang w:val="sr-Cyrl-CS"/>
              </w:rPr>
              <w:t>С</w:t>
            </w:r>
            <w:r>
              <w:rPr>
                <w:sz w:val="20"/>
                <w:szCs w:val="20"/>
              </w:rPr>
              <w:t xml:space="preserve">ПЕЦИФИКАЦИЈА JE ДОКУМЕНТ КОЈИ </w:t>
            </w:r>
            <w:r>
              <w:rPr>
                <w:sz w:val="20"/>
                <w:szCs w:val="20"/>
                <w:lang w:val="sr-Cyrl-CS"/>
              </w:rPr>
              <w:t>УТВРЂУЈЕ</w:t>
            </w:r>
            <w:r>
              <w:rPr>
                <w:sz w:val="20"/>
                <w:szCs w:val="20"/>
              </w:rPr>
              <w:t xml:space="preserve"> ТЕХНИЧКЕ ЗАХТЕВЕ КОЈЕ ТРЕБА </w:t>
            </w:r>
            <w:r>
              <w:rPr>
                <w:sz w:val="20"/>
                <w:szCs w:val="20"/>
                <w:lang w:val="sr-Cyrl-CS"/>
              </w:rPr>
              <w:t>ДА ИСПУНИ</w:t>
            </w:r>
            <w:r>
              <w:rPr>
                <w:sz w:val="20"/>
                <w:szCs w:val="20"/>
              </w:rPr>
              <w:t xml:space="preserve"> ПРОИЗВОД, ПРОЦЕС ИЛИ УСЛУГА И </w:t>
            </w:r>
            <w:r>
              <w:rPr>
                <w:sz w:val="20"/>
                <w:szCs w:val="20"/>
                <w:lang w:val="sr-Cyrl-CS"/>
              </w:rPr>
              <w:t xml:space="preserve">КОЈИМ СЕ </w:t>
            </w:r>
            <w:r>
              <w:rPr>
                <w:sz w:val="20"/>
                <w:szCs w:val="20"/>
              </w:rPr>
              <w:t xml:space="preserve">УТВРЂУЈЕ </w:t>
            </w:r>
            <w:r>
              <w:rPr>
                <w:sz w:val="20"/>
                <w:szCs w:val="20"/>
                <w:lang w:val="sr-Cyrl-CS"/>
              </w:rPr>
              <w:t xml:space="preserve">НАЈМАЊЕ </w:t>
            </w:r>
            <w:r>
              <w:rPr>
                <w:sz w:val="20"/>
                <w:szCs w:val="20"/>
              </w:rPr>
              <w:t>ЈЕДАН ОД СЛЕДЕЋИХ ЕЛЕМЕНАТА:</w:t>
            </w:r>
          </w:p>
          <w:p w:rsidR="0017553A" w:rsidRDefault="0017553A">
            <w:pPr>
              <w:spacing w:after="0"/>
              <w:rPr>
                <w:sz w:val="20"/>
                <w:szCs w:val="20"/>
                <w:lang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ПУ</w:t>
            </w:r>
          </w:p>
        </w:tc>
        <w:tc>
          <w:tcPr>
            <w:tcW w:w="2410" w:type="dxa"/>
            <w:gridSpan w:val="2"/>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eastAsia="en-GB"/>
              </w:rPr>
              <w:t>2.1.4.a)</w:t>
            </w:r>
          </w:p>
          <w:p w:rsidR="0017553A" w:rsidRDefault="0017553A">
            <w:pPr>
              <w:spacing w:after="0"/>
              <w:rPr>
                <w:b/>
                <w:sz w:val="20"/>
                <w:szCs w:val="20"/>
                <w:lang w:val="en-GB" w:eastAsia="en-GB"/>
              </w:rPr>
            </w:pPr>
          </w:p>
        </w:tc>
        <w:tc>
          <w:tcPr>
            <w:tcW w:w="4583" w:type="dxa"/>
            <w:gridSpan w:val="2"/>
            <w:tcBorders>
              <w:top w:val="single" w:sz="4" w:space="0" w:color="000000"/>
              <w:left w:val="single" w:sz="4" w:space="0" w:color="000000"/>
              <w:bottom w:val="single" w:sz="4" w:space="0" w:color="000000"/>
              <w:right w:val="single" w:sz="4" w:space="0" w:color="000000"/>
            </w:tcBorders>
          </w:tcPr>
          <w:p w:rsidR="0017553A" w:rsidRDefault="0017553A">
            <w:pPr>
              <w:pStyle w:val="CM4"/>
              <w:jc w:val="both"/>
              <w:rPr>
                <w:rFonts w:ascii="Times New Roman" w:hAnsi="Times New Roman"/>
                <w:sz w:val="20"/>
                <w:szCs w:val="20"/>
                <w:lang w:val="sr-Cyrl-CS" w:eastAsia="en-GB"/>
              </w:rPr>
            </w:pPr>
            <w:r>
              <w:rPr>
                <w:rFonts w:ascii="Times New Roman" w:hAnsi="Times New Roman"/>
                <w:sz w:val="20"/>
                <w:szCs w:val="20"/>
                <w:lang w:eastAsia="en-GB"/>
              </w:rPr>
              <w:t xml:space="preserve">the characteristics required of a product including levels of quality, performance, interoperability, environmental protection, health, safety or dimensions, and including the requirements applicable to the product as regards the name under which the product is sold, terminology, symbols, testing and test methods, packaging, marking or labelling and conformity assessment procedures; </w:t>
            </w:r>
          </w:p>
          <w:p w:rsidR="0017553A" w:rsidRDefault="0017553A">
            <w:pPr>
              <w:pStyle w:val="CM4"/>
              <w:jc w:val="both"/>
              <w:rPr>
                <w:rFonts w:ascii="Times New Roman" w:hAnsi="Times New Roman"/>
                <w:sz w:val="20"/>
                <w:szCs w:val="20"/>
                <w:lang w:val="sr-Cyrl-CS" w:eastAsia="en-GB"/>
              </w:rPr>
            </w:pPr>
          </w:p>
          <w:p w:rsidR="0017553A" w:rsidRDefault="0017553A">
            <w:pPr>
              <w:rPr>
                <w:rFonts w:ascii="Times New Roman" w:hAnsi="Times New Roman"/>
                <w:sz w:val="20"/>
                <w:szCs w:val="20"/>
                <w:lang w:val="en-GB"/>
              </w:rPr>
            </w:pPr>
          </w:p>
        </w:tc>
        <w:tc>
          <w:tcPr>
            <w:tcW w:w="993"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0.1.</w:t>
            </w:r>
          </w:p>
          <w:p w:rsidR="0017553A" w:rsidRDefault="0017553A">
            <w:pPr>
              <w:spacing w:after="0"/>
              <w:rPr>
                <w:b/>
                <w:sz w:val="20"/>
                <w:szCs w:val="20"/>
                <w:lang w:val="sr-Cyrl-CS" w:eastAsia="en-GB"/>
              </w:rPr>
            </w:pPr>
            <w:r>
              <w:rPr>
                <w:b/>
                <w:sz w:val="20"/>
                <w:szCs w:val="20"/>
                <w:lang w:val="sr-Cyrl-CS" w:eastAsia="en-GB"/>
              </w:rPr>
              <w:t xml:space="preserve">3.1.10. </w:t>
            </w:r>
          </w:p>
          <w:p w:rsidR="0017553A" w:rsidRDefault="0017553A">
            <w:pPr>
              <w:spacing w:after="0"/>
              <w:rPr>
                <w:b/>
                <w:sz w:val="20"/>
                <w:szCs w:val="20"/>
                <w:lang w:val="sr-Cyrl-CS" w:eastAsia="en-GB"/>
              </w:rPr>
            </w:pPr>
            <w:r>
              <w:rPr>
                <w:b/>
                <w:sz w:val="20"/>
                <w:szCs w:val="20"/>
                <w:lang w:val="sr-Cyrl-CS" w:eastAsia="en-GB"/>
              </w:rPr>
              <w:t>алинеја 1.</w:t>
            </w:r>
          </w:p>
        </w:tc>
        <w:tc>
          <w:tcPr>
            <w:tcW w:w="3827"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60"/>
              <w:ind w:left="33" w:right="191" w:hanging="33"/>
              <w:rPr>
                <w:sz w:val="20"/>
                <w:szCs w:val="20"/>
                <w:lang w:val="sr-Cyrl-CS"/>
              </w:rPr>
            </w:pPr>
            <w:r>
              <w:rPr>
                <w:sz w:val="20"/>
                <w:szCs w:val="20"/>
                <w:lang w:val="sr-Cyrl-CS"/>
              </w:rPr>
              <w:t xml:space="preserve">ПОТРЕБНЕ КАРАКТЕРИСТИКЕ </w:t>
            </w:r>
            <w:r>
              <w:rPr>
                <w:sz w:val="20"/>
                <w:szCs w:val="20"/>
              </w:rPr>
              <w:t xml:space="preserve">ПРОИЗВОДА </w:t>
            </w:r>
            <w:r>
              <w:rPr>
                <w:sz w:val="20"/>
                <w:szCs w:val="20"/>
                <w:lang w:val="sr-Cyrl-CS" w:eastAsia="en-GB"/>
              </w:rPr>
              <w:t xml:space="preserve"> КОЈЕ СЕ ОДНОСЕ НА</w:t>
            </w:r>
            <w:r>
              <w:rPr>
                <w:sz w:val="20"/>
                <w:szCs w:val="20"/>
              </w:rPr>
              <w:t xml:space="preserve">  </w:t>
            </w:r>
            <w:r>
              <w:rPr>
                <w:sz w:val="20"/>
                <w:szCs w:val="20"/>
                <w:lang w:val="sr-Cyrl-CS"/>
              </w:rPr>
              <w:t>НИВО КВАЛИТЕТА</w:t>
            </w:r>
            <w:r>
              <w:rPr>
                <w:sz w:val="20"/>
                <w:szCs w:val="20"/>
              </w:rPr>
              <w:t xml:space="preserve">, </w:t>
            </w:r>
            <w:r>
              <w:rPr>
                <w:sz w:val="20"/>
                <w:szCs w:val="20"/>
                <w:lang w:val="sr-Cyrl-CS"/>
              </w:rPr>
              <w:t>ПЕРФОРМАНСЕ</w:t>
            </w:r>
            <w:r>
              <w:rPr>
                <w:sz w:val="20"/>
                <w:szCs w:val="20"/>
              </w:rPr>
              <w:t xml:space="preserve">, </w:t>
            </w:r>
            <w:r>
              <w:rPr>
                <w:sz w:val="20"/>
                <w:szCs w:val="20"/>
                <w:lang w:val="sr-Cyrl-CS"/>
              </w:rPr>
              <w:t>ИНТЕРОПЕРАБИЛНОСТ</w:t>
            </w:r>
            <w:r>
              <w:rPr>
                <w:sz w:val="20"/>
                <w:szCs w:val="20"/>
              </w:rPr>
              <w:t>, ЗАШТИТ</w:t>
            </w:r>
            <w:r>
              <w:rPr>
                <w:sz w:val="20"/>
                <w:szCs w:val="20"/>
                <w:lang w:val="sr-Cyrl-ME"/>
              </w:rPr>
              <w:t xml:space="preserve">У </w:t>
            </w:r>
            <w:r>
              <w:rPr>
                <w:sz w:val="20"/>
                <w:szCs w:val="20"/>
                <w:lang w:val="sr-Cyrl-CS"/>
              </w:rPr>
              <w:t>ЖИВОТНЕ СРЕДИНЕ</w:t>
            </w:r>
            <w:r>
              <w:rPr>
                <w:sz w:val="20"/>
                <w:szCs w:val="20"/>
              </w:rPr>
              <w:t xml:space="preserve">, ЗАШТИТУ ЗДРАВЉА И </w:t>
            </w:r>
            <w:r>
              <w:rPr>
                <w:sz w:val="20"/>
                <w:szCs w:val="20"/>
                <w:lang w:val="sr-Cyrl-CS"/>
              </w:rPr>
              <w:t>БЕЗБЕДНОСТИ,</w:t>
            </w:r>
            <w:r>
              <w:rPr>
                <w:sz w:val="20"/>
                <w:szCs w:val="20"/>
              </w:rPr>
              <w:t xml:space="preserve"> КАО И ДИМЕНЗИЈЕ, УКЉУЧУЈУЋИ ЗАХТЕВЕ КОЈИ СЕ ОДНОСЕ НА НАЗИВ ПОД КОЈИМ СЕ </w:t>
            </w:r>
            <w:r>
              <w:rPr>
                <w:sz w:val="20"/>
                <w:szCs w:val="20"/>
                <w:lang w:val="sr-Cyrl-ME"/>
              </w:rPr>
              <w:t>ПРОИЗВОД</w:t>
            </w:r>
            <w:r>
              <w:rPr>
                <w:sz w:val="20"/>
                <w:szCs w:val="20"/>
              </w:rPr>
              <w:t xml:space="preserve"> ПРОДАЈЕ, </w:t>
            </w:r>
            <w:r>
              <w:rPr>
                <w:sz w:val="20"/>
                <w:szCs w:val="20"/>
                <w:lang w:val="sr-Cyrl-CS"/>
              </w:rPr>
              <w:t>ТЕРМИНОЛОГИЈУ</w:t>
            </w:r>
            <w:r>
              <w:rPr>
                <w:sz w:val="20"/>
                <w:szCs w:val="20"/>
              </w:rPr>
              <w:t xml:space="preserve">, СИМБОЛЕ, ИСПИТИВАЊА И МЕТОДЕ ИСПИТИВАЊА, </w:t>
            </w:r>
            <w:r>
              <w:rPr>
                <w:sz w:val="20"/>
                <w:szCs w:val="20"/>
                <w:lang w:val="sr-Cyrl-CS"/>
              </w:rPr>
              <w:t>ПАКОВАЊЕ</w:t>
            </w:r>
            <w:r>
              <w:rPr>
                <w:sz w:val="20"/>
                <w:szCs w:val="20"/>
              </w:rPr>
              <w:t>, ОЗНАЧ</w:t>
            </w:r>
            <w:r>
              <w:rPr>
                <w:sz w:val="20"/>
                <w:szCs w:val="20"/>
                <w:lang w:val="sr-Cyrl-CS"/>
              </w:rPr>
              <w:t>А</w:t>
            </w:r>
            <w:r>
              <w:rPr>
                <w:sz w:val="20"/>
                <w:szCs w:val="20"/>
              </w:rPr>
              <w:t xml:space="preserve">ВАЊЕ ИЛИ </w:t>
            </w:r>
            <w:r>
              <w:rPr>
                <w:sz w:val="20"/>
                <w:szCs w:val="20"/>
                <w:lang w:val="sr-Cyrl-CS"/>
              </w:rPr>
              <w:t>ОБЕЛЕЖАВАЊЕ И</w:t>
            </w:r>
            <w:r>
              <w:rPr>
                <w:sz w:val="20"/>
                <w:szCs w:val="20"/>
              </w:rPr>
              <w:t xml:space="preserve"> ПОСТУПКЕ </w:t>
            </w:r>
            <w:r>
              <w:rPr>
                <w:sz w:val="20"/>
                <w:szCs w:val="20"/>
                <w:lang w:val="sr-Cyrl-CS"/>
              </w:rPr>
              <w:t>ОЦЕЊИВАЊА УСАГЛАШЕНОСТИ И ДРУГЕ ЕЛЕМЕНТЕ</w:t>
            </w:r>
            <w:r>
              <w:rPr>
                <w:sz w:val="20"/>
                <w:szCs w:val="20"/>
              </w:rPr>
              <w:t>;</w:t>
            </w: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ПУ</w:t>
            </w:r>
          </w:p>
        </w:tc>
        <w:tc>
          <w:tcPr>
            <w:tcW w:w="2410" w:type="dxa"/>
            <w:gridSpan w:val="2"/>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eastAsia="en-GB"/>
              </w:rPr>
              <w:t>2.1.4.b)</w:t>
            </w:r>
          </w:p>
          <w:p w:rsidR="0017553A" w:rsidRDefault="0017553A">
            <w:pPr>
              <w:spacing w:after="0"/>
              <w:rPr>
                <w:b/>
                <w:sz w:val="20"/>
                <w:szCs w:val="20"/>
                <w:lang w:val="en-GB" w:eastAsia="en-GB"/>
              </w:rPr>
            </w:pP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rPr>
            </w:pPr>
            <w:r>
              <w:rPr>
                <w:sz w:val="20"/>
                <w:szCs w:val="20"/>
                <w:lang w:eastAsia="en-GB"/>
              </w:rPr>
              <w:t xml:space="preserve">production methods and processes used in respect of agricultural products as defined in Article 38(1) TFEU, </w:t>
            </w:r>
            <w:r>
              <w:rPr>
                <w:sz w:val="20"/>
                <w:szCs w:val="20"/>
                <w:lang w:eastAsia="en-GB"/>
              </w:rPr>
              <w:lastRenderedPageBreak/>
              <w:t>products intended for human and animal consumption, and medicinal products, as well as production methods and processes relating to other products, where these have an effect on their characteristics;EN 14.11.2012 Official Journal of the European Union L 316/19</w:t>
            </w:r>
          </w:p>
        </w:tc>
        <w:tc>
          <w:tcPr>
            <w:tcW w:w="993"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lastRenderedPageBreak/>
              <w:t>0.1.</w:t>
            </w:r>
          </w:p>
          <w:p w:rsidR="0017553A" w:rsidRDefault="0017553A">
            <w:pPr>
              <w:spacing w:after="0"/>
              <w:rPr>
                <w:b/>
                <w:sz w:val="20"/>
                <w:szCs w:val="20"/>
                <w:lang w:val="sr-Cyrl-CS" w:eastAsia="en-GB"/>
              </w:rPr>
            </w:pPr>
            <w:r>
              <w:rPr>
                <w:b/>
                <w:sz w:val="20"/>
                <w:szCs w:val="20"/>
                <w:lang w:val="sr-Cyrl-CS" w:eastAsia="en-GB"/>
              </w:rPr>
              <w:t xml:space="preserve">3.1.10. </w:t>
            </w:r>
          </w:p>
          <w:p w:rsidR="0017553A" w:rsidRDefault="0017553A">
            <w:pPr>
              <w:spacing w:after="0"/>
              <w:rPr>
                <w:b/>
                <w:sz w:val="20"/>
                <w:szCs w:val="20"/>
                <w:lang w:val="sr-Cyrl-CS" w:eastAsia="en-GB"/>
              </w:rPr>
            </w:pPr>
            <w:r>
              <w:rPr>
                <w:b/>
                <w:sz w:val="20"/>
                <w:szCs w:val="20"/>
                <w:lang w:val="sr-Cyrl-CS" w:eastAsia="en-GB"/>
              </w:rPr>
              <w:lastRenderedPageBreak/>
              <w:t>алинеја 2.</w:t>
            </w:r>
          </w:p>
        </w:tc>
        <w:tc>
          <w:tcPr>
            <w:tcW w:w="3827" w:type="dxa"/>
            <w:tcBorders>
              <w:top w:val="single" w:sz="4" w:space="0" w:color="000000"/>
              <w:left w:val="single" w:sz="4" w:space="0" w:color="000000"/>
              <w:bottom w:val="single" w:sz="4" w:space="0" w:color="000000"/>
              <w:right w:val="single" w:sz="4" w:space="0" w:color="000000"/>
            </w:tcBorders>
            <w:hideMark/>
          </w:tcPr>
          <w:p w:rsidR="0017553A" w:rsidRDefault="0017553A">
            <w:pPr>
              <w:tabs>
                <w:tab w:val="left" w:pos="0"/>
                <w:tab w:val="left" w:pos="33"/>
              </w:tabs>
              <w:spacing w:after="0"/>
              <w:rPr>
                <w:sz w:val="20"/>
                <w:szCs w:val="20"/>
                <w:lang w:val="sr-Cyrl-CS" w:eastAsia="en-GB"/>
              </w:rPr>
            </w:pPr>
            <w:r>
              <w:rPr>
                <w:sz w:val="20"/>
                <w:szCs w:val="20"/>
              </w:rPr>
              <w:lastRenderedPageBreak/>
              <w:t xml:space="preserve">МЕТОДЕ ПРОИЗВОДЊЕ И ПРОЦЕСИ КОЈИ СЕ </w:t>
            </w:r>
            <w:r>
              <w:rPr>
                <w:sz w:val="20"/>
                <w:szCs w:val="20"/>
                <w:lang w:val="sr-Cyrl-CS"/>
              </w:rPr>
              <w:t>КОРИСТЕ</w:t>
            </w:r>
            <w:r>
              <w:rPr>
                <w:sz w:val="20"/>
                <w:szCs w:val="20"/>
              </w:rPr>
              <w:t xml:space="preserve"> ЗА ПОЉОПРИВРЕДНЕ </w:t>
            </w:r>
            <w:r>
              <w:rPr>
                <w:sz w:val="20"/>
                <w:szCs w:val="20"/>
              </w:rPr>
              <w:lastRenderedPageBreak/>
              <w:t xml:space="preserve">ПРОИЗВОДЕ, ПРОИЗВОДЕ НАМЕЊЕНЕ </w:t>
            </w:r>
            <w:r>
              <w:rPr>
                <w:sz w:val="20"/>
                <w:szCs w:val="20"/>
                <w:lang w:val="sr-Cyrl-CS" w:eastAsia="en-GB"/>
              </w:rPr>
              <w:t xml:space="preserve"> ЗА ИСХРАНУ ЉУДИ И ЖИВОТИЊА</w:t>
            </w:r>
            <w:r>
              <w:rPr>
                <w:sz w:val="20"/>
                <w:szCs w:val="20"/>
                <w:lang w:val="sr-Cyrl-CS"/>
              </w:rPr>
              <w:t xml:space="preserve"> И</w:t>
            </w:r>
            <w:r>
              <w:rPr>
                <w:sz w:val="20"/>
                <w:szCs w:val="20"/>
              </w:rPr>
              <w:t xml:space="preserve"> МЕДИЦИНСКЕ ПРОИЗВОДЕ</w:t>
            </w:r>
            <w:r>
              <w:rPr>
                <w:sz w:val="20"/>
                <w:szCs w:val="20"/>
                <w:lang w:val="sr-Cyrl-CS"/>
              </w:rPr>
              <w:t xml:space="preserve">, КАО И </w:t>
            </w:r>
            <w:r>
              <w:rPr>
                <w:sz w:val="20"/>
                <w:szCs w:val="20"/>
              </w:rPr>
              <w:t>МЕТОДЕ ПРОИЗВОДЊЕ И ПРОЦЕСЕ КОЈИ СЕ ОДНОСЕ НА ДРУГЕ ПРОИЗВОДЕ КАД</w:t>
            </w:r>
            <w:r>
              <w:rPr>
                <w:sz w:val="20"/>
                <w:szCs w:val="20"/>
                <w:lang w:val="sr-Cyrl-CS"/>
              </w:rPr>
              <w:t>А</w:t>
            </w:r>
            <w:r>
              <w:rPr>
                <w:sz w:val="20"/>
                <w:szCs w:val="20"/>
              </w:rPr>
              <w:t xml:space="preserve"> ОНИ </w:t>
            </w:r>
            <w:r>
              <w:rPr>
                <w:sz w:val="20"/>
                <w:szCs w:val="20"/>
                <w:lang w:val="sr-Cyrl-CS"/>
              </w:rPr>
              <w:t>УТИЧУ</w:t>
            </w:r>
            <w:r>
              <w:rPr>
                <w:sz w:val="20"/>
                <w:szCs w:val="20"/>
              </w:rPr>
              <w:t xml:space="preserve"> НА </w:t>
            </w:r>
            <w:r>
              <w:rPr>
                <w:sz w:val="20"/>
                <w:szCs w:val="20"/>
                <w:lang w:val="sr-Cyrl-CS"/>
              </w:rPr>
              <w:t>КАРАКТЕРИСТИКЕ ПРОИЗВОДА</w:t>
            </w:r>
            <w:r>
              <w:rPr>
                <w:sz w:val="20"/>
                <w:szCs w:val="20"/>
              </w:rPr>
              <w:t>;</w:t>
            </w: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lastRenderedPageBreak/>
              <w:t>ПУ</w:t>
            </w:r>
          </w:p>
        </w:tc>
        <w:tc>
          <w:tcPr>
            <w:tcW w:w="2410" w:type="dxa"/>
            <w:gridSpan w:val="2"/>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Latn-CS" w:eastAsia="en-GB"/>
              </w:rPr>
            </w:pPr>
            <w:r>
              <w:rPr>
                <w:b/>
                <w:sz w:val="20"/>
                <w:szCs w:val="20"/>
                <w:lang w:val="sr-Cyrl-CS" w:eastAsia="en-GB"/>
              </w:rPr>
              <w:lastRenderedPageBreak/>
              <w:t xml:space="preserve">2.1.4. </w:t>
            </w:r>
            <w:r>
              <w:rPr>
                <w:b/>
                <w:sz w:val="20"/>
                <w:szCs w:val="20"/>
                <w:lang w:val="sr-Latn-CS" w:eastAsia="en-GB"/>
              </w:rPr>
              <w:t>c)</w:t>
            </w:r>
          </w:p>
          <w:p w:rsidR="0017553A" w:rsidRDefault="0017553A">
            <w:pPr>
              <w:spacing w:after="0"/>
              <w:rPr>
                <w:b/>
                <w:sz w:val="20"/>
                <w:szCs w:val="20"/>
                <w:lang w:val="en-GB" w:eastAsia="en-GB"/>
              </w:rPr>
            </w:pPr>
          </w:p>
        </w:tc>
        <w:tc>
          <w:tcPr>
            <w:tcW w:w="4583" w:type="dxa"/>
            <w:gridSpan w:val="2"/>
            <w:tcBorders>
              <w:top w:val="single" w:sz="4" w:space="0" w:color="000000"/>
              <w:left w:val="single" w:sz="4" w:space="0" w:color="000000"/>
              <w:bottom w:val="single" w:sz="4" w:space="0" w:color="000000"/>
              <w:right w:val="single" w:sz="4" w:space="0" w:color="000000"/>
            </w:tcBorders>
          </w:tcPr>
          <w:p w:rsidR="0017553A" w:rsidRDefault="0017553A">
            <w:pPr>
              <w:pStyle w:val="CM4"/>
              <w:rPr>
                <w:rFonts w:ascii="Times New Roman" w:hAnsi="Times New Roman"/>
                <w:sz w:val="20"/>
                <w:szCs w:val="20"/>
                <w:lang w:eastAsia="en-GB"/>
              </w:rPr>
            </w:pPr>
            <w:r>
              <w:rPr>
                <w:rFonts w:ascii="Times New Roman" w:hAnsi="Times New Roman"/>
                <w:sz w:val="20"/>
                <w:szCs w:val="20"/>
                <w:lang w:eastAsia="en-GB"/>
              </w:rPr>
              <w:t xml:space="preserve">the characteristics required of a service including levels of quality, performance, interoperability, environmental protection, health or safety, and including the requirements applicable to the provider as regards the information to be made available to the recipient, as specified in Article 22(1) to (3) of Directive 2006/123/EC; </w:t>
            </w:r>
          </w:p>
          <w:p w:rsidR="0017553A" w:rsidRDefault="0017553A">
            <w:pPr>
              <w:rPr>
                <w:rFonts w:ascii="Times New Roman" w:hAnsi="Times New Roman"/>
                <w:sz w:val="20"/>
                <w:szCs w:val="20"/>
              </w:rPr>
            </w:pPr>
          </w:p>
        </w:tc>
        <w:tc>
          <w:tcPr>
            <w:tcW w:w="993"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0.1.</w:t>
            </w:r>
          </w:p>
          <w:p w:rsidR="0017553A" w:rsidRDefault="0017553A">
            <w:pPr>
              <w:spacing w:after="0"/>
              <w:rPr>
                <w:b/>
                <w:sz w:val="20"/>
                <w:szCs w:val="20"/>
                <w:lang w:val="sr-Cyrl-CS" w:eastAsia="en-GB"/>
              </w:rPr>
            </w:pPr>
            <w:r>
              <w:rPr>
                <w:b/>
                <w:sz w:val="20"/>
                <w:szCs w:val="20"/>
                <w:lang w:val="sr-Cyrl-CS" w:eastAsia="en-GB"/>
              </w:rPr>
              <w:t xml:space="preserve">3.1.10. </w:t>
            </w:r>
          </w:p>
          <w:p w:rsidR="0017553A" w:rsidRDefault="0017553A">
            <w:pPr>
              <w:spacing w:after="0"/>
              <w:rPr>
                <w:b/>
                <w:sz w:val="20"/>
                <w:szCs w:val="20"/>
                <w:lang w:val="sr-Cyrl-CS" w:eastAsia="en-GB"/>
              </w:rPr>
            </w:pPr>
            <w:r>
              <w:rPr>
                <w:b/>
                <w:sz w:val="20"/>
                <w:szCs w:val="20"/>
                <w:lang w:val="sr-Cyrl-CS" w:eastAsia="en-GB"/>
              </w:rPr>
              <w:t>алинеја 3.</w:t>
            </w: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60"/>
              <w:ind w:left="33" w:right="191" w:hanging="33"/>
              <w:rPr>
                <w:sz w:val="20"/>
                <w:szCs w:val="20"/>
                <w:lang w:val="en-GB"/>
              </w:rPr>
            </w:pPr>
            <w:r>
              <w:rPr>
                <w:sz w:val="20"/>
                <w:szCs w:val="20"/>
                <w:lang w:val="sr-Cyrl-CS"/>
              </w:rPr>
              <w:t xml:space="preserve">ПОТРЕБНЕ КАРАКТЕРИСТИКЕ </w:t>
            </w:r>
            <w:r>
              <w:rPr>
                <w:sz w:val="20"/>
                <w:szCs w:val="20"/>
              </w:rPr>
              <w:t>ЗА УСЛУГЕ</w:t>
            </w:r>
            <w:r>
              <w:rPr>
                <w:sz w:val="20"/>
                <w:szCs w:val="20"/>
                <w:lang w:val="sr-Cyrl-CS"/>
              </w:rPr>
              <w:t>, КАО ШТО СУ НИВО КВАЛИТЕТА</w:t>
            </w:r>
            <w:r>
              <w:rPr>
                <w:sz w:val="20"/>
                <w:szCs w:val="20"/>
              </w:rPr>
              <w:t xml:space="preserve">, </w:t>
            </w:r>
            <w:r>
              <w:rPr>
                <w:sz w:val="20"/>
                <w:szCs w:val="20"/>
                <w:lang w:val="sr-Cyrl-CS"/>
              </w:rPr>
              <w:t>ПЕРФОРМАНСЕ</w:t>
            </w:r>
            <w:r>
              <w:rPr>
                <w:sz w:val="20"/>
                <w:szCs w:val="20"/>
              </w:rPr>
              <w:t xml:space="preserve">, </w:t>
            </w:r>
            <w:r>
              <w:rPr>
                <w:sz w:val="20"/>
                <w:szCs w:val="20"/>
                <w:lang w:val="sr-Cyrl-CS"/>
              </w:rPr>
              <w:t>ИНТЕРОПЕРАБИЛНОСТ</w:t>
            </w:r>
            <w:r>
              <w:rPr>
                <w:sz w:val="20"/>
                <w:szCs w:val="20"/>
              </w:rPr>
              <w:t>, ЗАШТИТ</w:t>
            </w:r>
            <w:r>
              <w:rPr>
                <w:sz w:val="20"/>
                <w:szCs w:val="20"/>
                <w:lang w:val="sr-Cyrl-CS"/>
              </w:rPr>
              <w:t>А ЖИВОТНЕ СРЕДИНЕ</w:t>
            </w:r>
            <w:r>
              <w:rPr>
                <w:sz w:val="20"/>
                <w:szCs w:val="20"/>
              </w:rPr>
              <w:t xml:space="preserve">, ЗАШТИТА ЗДРАВЉА И </w:t>
            </w:r>
            <w:r>
              <w:rPr>
                <w:sz w:val="20"/>
                <w:szCs w:val="20"/>
                <w:lang w:val="sr-Cyrl-CS"/>
              </w:rPr>
              <w:t>БЕЗБЕДНОСТИ,</w:t>
            </w:r>
            <w:r>
              <w:rPr>
                <w:sz w:val="20"/>
                <w:szCs w:val="20"/>
              </w:rPr>
              <w:t xml:space="preserve"> УКЉУЧУЈУЋИ ЗАХТЕВЕ ПРИМЕЊИВЕ НА ПРУЖА</w:t>
            </w:r>
            <w:r>
              <w:rPr>
                <w:sz w:val="20"/>
                <w:szCs w:val="20"/>
                <w:lang w:val="sr-Cyrl-CS"/>
              </w:rPr>
              <w:t>ОЦА</w:t>
            </w:r>
            <w:r>
              <w:rPr>
                <w:sz w:val="20"/>
                <w:szCs w:val="20"/>
              </w:rPr>
              <w:t xml:space="preserve"> УСЛУГЕ КОЈ</w:t>
            </w:r>
            <w:r>
              <w:rPr>
                <w:sz w:val="20"/>
                <w:szCs w:val="20"/>
                <w:lang w:val="sr-Cyrl-CS"/>
              </w:rPr>
              <w:t>И</w:t>
            </w:r>
            <w:r>
              <w:rPr>
                <w:sz w:val="20"/>
                <w:szCs w:val="20"/>
              </w:rPr>
              <w:t xml:space="preserve"> СЕ ОДНОСЕ НА ПОДАТКЕ КОЈЕ ТРЕБА СТАВИТИ НА РАСПОЛАГАЊЕ ПРИМА</w:t>
            </w:r>
            <w:r>
              <w:rPr>
                <w:sz w:val="20"/>
                <w:szCs w:val="20"/>
                <w:lang w:val="sr-Cyrl-CS"/>
              </w:rPr>
              <w:t>ОЦУ;</w:t>
            </w:r>
          </w:p>
          <w:p w:rsidR="0017553A" w:rsidRDefault="0017553A">
            <w:pPr>
              <w:tabs>
                <w:tab w:val="left" w:pos="175"/>
              </w:tabs>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ПУ</w:t>
            </w:r>
          </w:p>
        </w:tc>
        <w:tc>
          <w:tcPr>
            <w:tcW w:w="2410" w:type="dxa"/>
            <w:gridSpan w:val="2"/>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Latn-CS" w:eastAsia="en-GB"/>
              </w:rPr>
            </w:pPr>
            <w:r>
              <w:rPr>
                <w:b/>
                <w:sz w:val="20"/>
                <w:szCs w:val="20"/>
                <w:lang w:val="sr-Latn-CS" w:eastAsia="en-GB"/>
              </w:rPr>
              <w:t>2.1.4.d)</w:t>
            </w:r>
          </w:p>
          <w:p w:rsidR="0017553A" w:rsidRDefault="0017553A">
            <w:pPr>
              <w:spacing w:after="0"/>
              <w:rPr>
                <w:b/>
                <w:sz w:val="20"/>
                <w:szCs w:val="20"/>
                <w:lang w:val="en-GB" w:eastAsia="en-GB"/>
              </w:rPr>
            </w:pPr>
          </w:p>
        </w:tc>
        <w:tc>
          <w:tcPr>
            <w:tcW w:w="4583" w:type="dxa"/>
            <w:gridSpan w:val="2"/>
            <w:tcBorders>
              <w:top w:val="single" w:sz="4" w:space="0" w:color="000000"/>
              <w:left w:val="single" w:sz="4" w:space="0" w:color="000000"/>
              <w:bottom w:val="single" w:sz="4" w:space="0" w:color="000000"/>
              <w:right w:val="single" w:sz="4" w:space="0" w:color="000000"/>
            </w:tcBorders>
          </w:tcPr>
          <w:p w:rsidR="0017553A" w:rsidRDefault="0017553A">
            <w:pPr>
              <w:pStyle w:val="CM4"/>
              <w:jc w:val="both"/>
              <w:rPr>
                <w:rFonts w:ascii="Times New Roman" w:hAnsi="Times New Roman"/>
                <w:sz w:val="20"/>
                <w:szCs w:val="20"/>
                <w:lang w:val="sr-Cyrl-CS" w:eastAsia="en-GB"/>
              </w:rPr>
            </w:pPr>
            <w:r>
              <w:rPr>
                <w:rFonts w:ascii="Times New Roman" w:hAnsi="Times New Roman"/>
                <w:sz w:val="20"/>
                <w:szCs w:val="20"/>
                <w:lang w:eastAsia="en-GB"/>
              </w:rPr>
              <w:t>the methods and the criteria for assessing the performance of construction products, as defined in point 1 of Article 2 of Regulation (EU) No 305/2011 of the European Parliament and of the Council of 9 March 2011 laying down harmonised conditions for the marketing of construction products ( 1 ), in relation to their essential characteristics;</w:t>
            </w:r>
          </w:p>
          <w:p w:rsidR="0017553A" w:rsidRDefault="0017553A">
            <w:pPr>
              <w:rPr>
                <w:rFonts w:ascii="Times New Roman" w:hAnsi="Times New Roman"/>
                <w:sz w:val="20"/>
                <w:szCs w:val="20"/>
                <w:lang w:val="en-GB"/>
              </w:rPr>
            </w:pPr>
          </w:p>
        </w:tc>
        <w:tc>
          <w:tcPr>
            <w:tcW w:w="993"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0.1.</w:t>
            </w:r>
          </w:p>
          <w:p w:rsidR="0017553A" w:rsidRDefault="0017553A">
            <w:pPr>
              <w:spacing w:after="0"/>
              <w:rPr>
                <w:b/>
                <w:sz w:val="20"/>
                <w:szCs w:val="20"/>
                <w:lang w:val="sr-Cyrl-CS" w:eastAsia="en-GB"/>
              </w:rPr>
            </w:pPr>
            <w:r>
              <w:rPr>
                <w:b/>
                <w:sz w:val="20"/>
                <w:szCs w:val="20"/>
                <w:lang w:val="sr-Cyrl-CS" w:eastAsia="en-GB"/>
              </w:rPr>
              <w:t xml:space="preserve">3.1.10. </w:t>
            </w:r>
          </w:p>
          <w:p w:rsidR="0017553A" w:rsidRDefault="0017553A">
            <w:pPr>
              <w:spacing w:after="0"/>
              <w:rPr>
                <w:b/>
                <w:sz w:val="20"/>
                <w:szCs w:val="20"/>
                <w:lang w:val="sr-Cyrl-CS" w:eastAsia="en-GB"/>
              </w:rPr>
            </w:pPr>
            <w:r>
              <w:rPr>
                <w:b/>
                <w:sz w:val="20"/>
                <w:szCs w:val="20"/>
                <w:lang w:val="sr-Cyrl-CS" w:eastAsia="en-GB"/>
              </w:rPr>
              <w:t>алинеја 4.</w:t>
            </w:r>
          </w:p>
        </w:tc>
        <w:tc>
          <w:tcPr>
            <w:tcW w:w="3827" w:type="dxa"/>
            <w:tcBorders>
              <w:top w:val="single" w:sz="4" w:space="0" w:color="000000"/>
              <w:left w:val="single" w:sz="4" w:space="0" w:color="000000"/>
              <w:bottom w:val="single" w:sz="4" w:space="0" w:color="000000"/>
              <w:right w:val="single" w:sz="4" w:space="0" w:color="000000"/>
            </w:tcBorders>
            <w:hideMark/>
          </w:tcPr>
          <w:p w:rsidR="0017553A" w:rsidRDefault="0017553A">
            <w:pPr>
              <w:tabs>
                <w:tab w:val="left" w:pos="175"/>
              </w:tabs>
              <w:spacing w:after="0"/>
              <w:rPr>
                <w:sz w:val="20"/>
                <w:szCs w:val="20"/>
                <w:lang w:val="sr-Cyrl-CS" w:eastAsia="en-GB"/>
              </w:rPr>
            </w:pPr>
            <w:r>
              <w:rPr>
                <w:sz w:val="20"/>
                <w:szCs w:val="20"/>
              </w:rPr>
              <w:t xml:space="preserve">МЕТОДЕ И </w:t>
            </w:r>
            <w:r>
              <w:rPr>
                <w:sz w:val="20"/>
                <w:szCs w:val="20"/>
                <w:lang w:val="sr-Cyrl-CS"/>
              </w:rPr>
              <w:t xml:space="preserve">КРИТЕРИЈУМИ </w:t>
            </w:r>
            <w:r>
              <w:rPr>
                <w:sz w:val="20"/>
                <w:szCs w:val="20"/>
              </w:rPr>
              <w:t>ЗА ОЦЕ</w:t>
            </w:r>
            <w:r>
              <w:rPr>
                <w:sz w:val="20"/>
                <w:szCs w:val="20"/>
                <w:lang w:val="sr-Cyrl-CS"/>
              </w:rPr>
              <w:t>ЊИВАЊЕ</w:t>
            </w:r>
            <w:r>
              <w:rPr>
                <w:sz w:val="20"/>
                <w:szCs w:val="20"/>
              </w:rPr>
              <w:t xml:space="preserve"> ПЕРФОРМАН</w:t>
            </w:r>
            <w:r>
              <w:rPr>
                <w:sz w:val="20"/>
                <w:szCs w:val="20"/>
                <w:lang w:val="sr-Cyrl-CS"/>
              </w:rPr>
              <w:t>СИ ГРАЂЕВИНСКИХ</w:t>
            </w:r>
            <w:r>
              <w:rPr>
                <w:sz w:val="20"/>
                <w:szCs w:val="20"/>
              </w:rPr>
              <w:t xml:space="preserve"> ПРОИЗВОДА</w:t>
            </w:r>
            <w:r>
              <w:rPr>
                <w:sz w:val="20"/>
                <w:szCs w:val="20"/>
                <w:lang w:val="sr-Cyrl-CS"/>
              </w:rPr>
              <w:t>.</w:t>
            </w: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ПУ</w:t>
            </w:r>
          </w:p>
        </w:tc>
        <w:tc>
          <w:tcPr>
            <w:tcW w:w="2410" w:type="dxa"/>
            <w:gridSpan w:val="2"/>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en-GB" w:eastAsia="en-GB"/>
              </w:rPr>
            </w:pP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2.1.5.</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eastAsia="en-GB"/>
              </w:rPr>
            </w:pPr>
            <w:r>
              <w:rPr>
                <w:sz w:val="20"/>
                <w:szCs w:val="20"/>
                <w:lang w:eastAsia="en-GB"/>
              </w:rPr>
              <w:t xml:space="preserve"> ‘ICT technical specification’ means a technical specification in the field of information and communication technologies; </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highlight w:val="magenta"/>
                <w:lang w:val="sr-Cyrl-CS" w:eastAsia="en-GB"/>
              </w:rPr>
            </w:pPr>
            <w:r>
              <w:rPr>
                <w:b/>
                <w:sz w:val="20"/>
                <w:szCs w:val="20"/>
                <w:lang w:val="sr-Cyrl-CS" w:eastAsia="en-GB"/>
              </w:rPr>
              <w:t>НУ</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 xml:space="preserve">Образложење оцене: </w:t>
            </w:r>
          </w:p>
          <w:p w:rsidR="0017553A" w:rsidRDefault="0017553A">
            <w:pPr>
              <w:spacing w:after="0"/>
              <w:rPr>
                <w:sz w:val="20"/>
                <w:szCs w:val="20"/>
                <w:lang w:val="en-GB" w:eastAsia="en-GB"/>
              </w:rPr>
            </w:pPr>
            <w:r>
              <w:rPr>
                <w:sz w:val="20"/>
                <w:szCs w:val="20"/>
                <w:lang w:val="sr-Cyrl-CS" w:eastAsia="en-GB"/>
              </w:rPr>
              <w:t xml:space="preserve">У национално законодавство није  </w:t>
            </w:r>
            <w:r>
              <w:rPr>
                <w:sz w:val="20"/>
                <w:szCs w:val="20"/>
                <w:lang w:val="sr-Cyrl-CS" w:eastAsia="en-GB"/>
              </w:rPr>
              <w:lastRenderedPageBreak/>
              <w:t xml:space="preserve">пренета одредба </w:t>
            </w:r>
            <w:r>
              <w:rPr>
                <w:sz w:val="20"/>
                <w:szCs w:val="20"/>
                <w:lang w:eastAsia="en-GB"/>
              </w:rPr>
              <w:t>2.1.5.</w:t>
            </w:r>
            <w:r>
              <w:rPr>
                <w:sz w:val="20"/>
                <w:szCs w:val="20"/>
                <w:lang w:val="sr-Cyrl-CS" w:eastAsia="en-GB"/>
              </w:rPr>
              <w:t xml:space="preserve"> Уредбе, а</w:t>
            </w:r>
            <w:r>
              <w:rPr>
                <w:sz w:val="20"/>
                <w:szCs w:val="20"/>
                <w:lang w:val="sr-Latn-CS" w:eastAsia="en-GB"/>
              </w:rPr>
              <w:t xml:space="preserve"> </w:t>
            </w:r>
            <w:r>
              <w:rPr>
                <w:sz w:val="20"/>
                <w:szCs w:val="20"/>
                <w:lang w:val="sr-Cyrl-CS" w:eastAsia="en-GB"/>
              </w:rPr>
              <w:t xml:space="preserve">потпуно усаглашавање са овом одредбом планирано је  изменама  </w:t>
            </w:r>
            <w:r>
              <w:rPr>
                <w:iCs/>
                <w:sz w:val="20"/>
                <w:szCs w:val="20"/>
                <w:lang w:val="sr-Cyrl-CS" w:eastAsia="en-GB"/>
              </w:rPr>
              <w:t xml:space="preserve"> Уредбе о </w:t>
            </w:r>
            <w:r>
              <w:rPr>
                <w:iCs/>
                <w:sz w:val="20"/>
                <w:szCs w:val="20"/>
                <w:lang w:val="ru-RU" w:eastAsia="en-GB"/>
              </w:rPr>
              <w:t xml:space="preserve"> поступку пријављивања и начину информисања који се односе на техничке прописе, оцењивање усаглашености и </w:t>
            </w:r>
            <w:r>
              <w:rPr>
                <w:iCs/>
                <w:sz w:val="20"/>
                <w:szCs w:val="20"/>
                <w:lang w:val="sr-Cyrl-CS" w:eastAsia="en-GB"/>
              </w:rPr>
              <w:t>с</w:t>
            </w:r>
            <w:r>
              <w:rPr>
                <w:iCs/>
                <w:sz w:val="20"/>
                <w:szCs w:val="20"/>
                <w:lang w:val="ru-RU" w:eastAsia="en-GB"/>
              </w:rPr>
              <w:t>тандарде</w:t>
            </w:r>
            <w:r>
              <w:rPr>
                <w:iCs/>
                <w:sz w:val="20"/>
                <w:szCs w:val="20"/>
                <w:lang w:val="sr-Cyrl-CS" w:eastAsia="en-GB"/>
              </w:rPr>
              <w:t xml:space="preserve">  </w:t>
            </w:r>
            <w:r>
              <w:rPr>
                <w:iCs/>
                <w:sz w:val="20"/>
                <w:szCs w:val="20"/>
                <w:lang w:val="ru-RU" w:eastAsia="en-GB"/>
              </w:rPr>
              <w:t>("Сл</w:t>
            </w:r>
            <w:r>
              <w:rPr>
                <w:iCs/>
                <w:sz w:val="20"/>
                <w:szCs w:val="20"/>
                <w:lang w:val="sr-Cyrl-CS" w:eastAsia="en-GB"/>
              </w:rPr>
              <w:t>ужбени</w:t>
            </w:r>
            <w:r>
              <w:rPr>
                <w:iCs/>
                <w:sz w:val="20"/>
                <w:szCs w:val="20"/>
                <w:lang w:val="ru-RU" w:eastAsia="en-GB"/>
              </w:rPr>
              <w:t xml:space="preserve"> гласник РС", бр</w:t>
            </w:r>
            <w:r>
              <w:rPr>
                <w:iCs/>
                <w:sz w:val="20"/>
                <w:szCs w:val="20"/>
                <w:lang w:val="sr-Cyrl-CS" w:eastAsia="en-GB"/>
              </w:rPr>
              <w:t>ој</w:t>
            </w:r>
            <w:r>
              <w:rPr>
                <w:iCs/>
                <w:sz w:val="20"/>
                <w:szCs w:val="20"/>
                <w:lang w:val="ru-RU" w:eastAsia="en-GB"/>
              </w:rPr>
              <w:t xml:space="preserve"> 45/2010)</w:t>
            </w:r>
            <w:r>
              <w:rPr>
                <w:iCs/>
                <w:sz w:val="20"/>
                <w:szCs w:val="20"/>
                <w:lang w:eastAsia="en-GB"/>
              </w:rPr>
              <w:t>.</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lastRenderedPageBreak/>
              <w:t>2.1.6.</w:t>
            </w:r>
          </w:p>
        </w:tc>
        <w:tc>
          <w:tcPr>
            <w:tcW w:w="4583" w:type="dxa"/>
            <w:gridSpan w:val="2"/>
            <w:tcBorders>
              <w:top w:val="single" w:sz="4" w:space="0" w:color="000000"/>
              <w:left w:val="single" w:sz="4" w:space="0" w:color="000000"/>
              <w:bottom w:val="single" w:sz="4" w:space="0" w:color="000000"/>
              <w:right w:val="single" w:sz="4" w:space="0" w:color="000000"/>
            </w:tcBorders>
          </w:tcPr>
          <w:p w:rsidR="0017553A" w:rsidRDefault="0017553A">
            <w:pPr>
              <w:pStyle w:val="CM4"/>
              <w:jc w:val="both"/>
              <w:rPr>
                <w:rFonts w:ascii="Times New Roman" w:hAnsi="Times New Roman"/>
                <w:sz w:val="20"/>
                <w:szCs w:val="20"/>
                <w:lang w:eastAsia="en-GB"/>
              </w:rPr>
            </w:pPr>
            <w:r>
              <w:rPr>
                <w:rFonts w:ascii="Times New Roman" w:hAnsi="Times New Roman"/>
                <w:sz w:val="20"/>
                <w:szCs w:val="20"/>
                <w:lang w:eastAsia="en-GB"/>
              </w:rPr>
              <w:t xml:space="preserve">‘product’ means any industrially manufactured product and any agricultural product, including fish products; </w:t>
            </w:r>
          </w:p>
          <w:p w:rsidR="0017553A" w:rsidRDefault="0017553A">
            <w:pPr>
              <w:spacing w:after="0"/>
              <w:rPr>
                <w:rFonts w:ascii="Times New Roman" w:hAnsi="Times New Roman"/>
                <w:b/>
                <w:sz w:val="20"/>
                <w:szCs w:val="20"/>
                <w:lang w:val="sr-Cyrl-CS" w:eastAsia="en-GB"/>
              </w:rPr>
            </w:pPr>
          </w:p>
        </w:tc>
        <w:tc>
          <w:tcPr>
            <w:tcW w:w="993"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0.2</w:t>
            </w:r>
          </w:p>
          <w:p w:rsidR="0017553A" w:rsidRDefault="0017553A">
            <w:pPr>
              <w:spacing w:after="0"/>
              <w:rPr>
                <w:b/>
                <w:sz w:val="20"/>
                <w:szCs w:val="20"/>
                <w:lang w:val="sr-Latn-CS" w:eastAsia="en-GB"/>
              </w:rPr>
            </w:pPr>
            <w:r>
              <w:rPr>
                <w:b/>
                <w:sz w:val="20"/>
                <w:szCs w:val="20"/>
                <w:lang w:val="sr-Latn-CS" w:eastAsia="en-GB"/>
              </w:rPr>
              <w:t>3.1.1.</w:t>
            </w: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rFonts w:eastAsia="Times New Roman"/>
                <w:sz w:val="20"/>
                <w:szCs w:val="20"/>
                <w:lang w:eastAsia="en-GB"/>
              </w:rPr>
            </w:pPr>
            <w:r>
              <w:rPr>
                <w:rFonts w:eastAsia="Times New Roman"/>
                <w:i/>
                <w:iCs/>
                <w:sz w:val="20"/>
                <w:szCs w:val="20"/>
                <w:lang w:val="sr-Cyrl-CS" w:eastAsia="en-GB"/>
              </w:rPr>
              <w:t xml:space="preserve">производ </w:t>
            </w:r>
            <w:r>
              <w:rPr>
                <w:rFonts w:eastAsia="Times New Roman"/>
                <w:sz w:val="20"/>
                <w:szCs w:val="20"/>
                <w:lang w:val="sr-Cyrl-CS" w:eastAsia="en-GB"/>
              </w:rPr>
              <w:t>је сваки производ који је, као резултат неког процеса, израђен или на други начин добијен, независно од степена његове прераде, а намењен је за стављање на тржиште или испоруку на тржишту</w:t>
            </w:r>
          </w:p>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Latn-CS" w:eastAsia="en-GB"/>
              </w:rPr>
            </w:pPr>
            <w:r>
              <w:rPr>
                <w:b/>
                <w:sz w:val="20"/>
                <w:szCs w:val="20"/>
                <w:lang w:val="sr-Cyrl-CS" w:eastAsia="en-GB"/>
              </w:rPr>
              <w:t>ДУ</w:t>
            </w:r>
            <w:r>
              <w:rPr>
                <w:b/>
                <w:sz w:val="20"/>
                <w:szCs w:val="20"/>
                <w:lang w:val="sr-Latn-CS" w:eastAsia="en-GB"/>
              </w:rPr>
              <w:t xml:space="preserve"> </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iCs/>
                <w:sz w:val="20"/>
                <w:szCs w:val="20"/>
                <w:lang w:val="sr-Cyrl-CS" w:eastAsia="en-GB"/>
              </w:rPr>
            </w:pPr>
            <w:r>
              <w:rPr>
                <w:sz w:val="20"/>
                <w:szCs w:val="20"/>
                <w:lang w:val="sr-Cyrl-CS" w:eastAsia="en-GB"/>
              </w:rPr>
              <w:t xml:space="preserve">Образложење оцене: Потпуно усаглашавање са одредбом </w:t>
            </w:r>
            <w:r>
              <w:rPr>
                <w:sz w:val="20"/>
                <w:szCs w:val="20"/>
                <w:lang w:eastAsia="en-GB"/>
              </w:rPr>
              <w:t>2.1.6.</w:t>
            </w:r>
            <w:r>
              <w:rPr>
                <w:sz w:val="20"/>
                <w:szCs w:val="20"/>
                <w:lang w:val="sr-Cyrl-CS" w:eastAsia="en-GB"/>
              </w:rPr>
              <w:t xml:space="preserve"> Уредбе,</w:t>
            </w:r>
            <w:r>
              <w:rPr>
                <w:sz w:val="20"/>
                <w:szCs w:val="20"/>
                <w:lang w:val="sr-Latn-CS" w:eastAsia="en-GB"/>
              </w:rPr>
              <w:t xml:space="preserve"> </w:t>
            </w:r>
            <w:r>
              <w:rPr>
                <w:sz w:val="20"/>
                <w:szCs w:val="20"/>
                <w:lang w:val="sr-Cyrl-CS" w:eastAsia="en-GB"/>
              </w:rPr>
              <w:t xml:space="preserve">планирано је  изменама  </w:t>
            </w:r>
            <w:r>
              <w:rPr>
                <w:iCs/>
                <w:sz w:val="20"/>
                <w:szCs w:val="20"/>
                <w:lang w:val="sr-Cyrl-CS" w:eastAsia="en-GB"/>
              </w:rPr>
              <w:t xml:space="preserve"> Уредбе о </w:t>
            </w:r>
            <w:r>
              <w:rPr>
                <w:iCs/>
                <w:sz w:val="20"/>
                <w:szCs w:val="20"/>
                <w:lang w:val="ru-RU" w:eastAsia="en-GB"/>
              </w:rPr>
              <w:t xml:space="preserve"> поступку пријављивања и начину информисања који се односе на техничке прописе, оцењивање усаглашености и </w:t>
            </w:r>
            <w:r>
              <w:rPr>
                <w:iCs/>
                <w:sz w:val="20"/>
                <w:szCs w:val="20"/>
                <w:lang w:val="sr-Cyrl-CS" w:eastAsia="en-GB"/>
              </w:rPr>
              <w:t>с</w:t>
            </w:r>
            <w:r>
              <w:rPr>
                <w:iCs/>
                <w:sz w:val="20"/>
                <w:szCs w:val="20"/>
                <w:lang w:val="ru-RU" w:eastAsia="en-GB"/>
              </w:rPr>
              <w:t>тандарде</w:t>
            </w:r>
            <w:r>
              <w:rPr>
                <w:iCs/>
                <w:sz w:val="20"/>
                <w:szCs w:val="20"/>
                <w:lang w:val="sr-Cyrl-CS" w:eastAsia="en-GB"/>
              </w:rPr>
              <w:t xml:space="preserve">  </w:t>
            </w:r>
            <w:r>
              <w:rPr>
                <w:iCs/>
                <w:sz w:val="20"/>
                <w:szCs w:val="20"/>
                <w:lang w:val="ru-RU" w:eastAsia="en-GB"/>
              </w:rPr>
              <w:t>("Сл</w:t>
            </w:r>
            <w:r>
              <w:rPr>
                <w:iCs/>
                <w:sz w:val="20"/>
                <w:szCs w:val="20"/>
                <w:lang w:val="sr-Cyrl-CS" w:eastAsia="en-GB"/>
              </w:rPr>
              <w:t>ужбени</w:t>
            </w:r>
            <w:r>
              <w:rPr>
                <w:iCs/>
                <w:sz w:val="20"/>
                <w:szCs w:val="20"/>
                <w:lang w:val="ru-RU" w:eastAsia="en-GB"/>
              </w:rPr>
              <w:t xml:space="preserve"> гласник РС", бр</w:t>
            </w:r>
            <w:r>
              <w:rPr>
                <w:iCs/>
                <w:sz w:val="20"/>
                <w:szCs w:val="20"/>
                <w:lang w:val="sr-Cyrl-CS" w:eastAsia="en-GB"/>
              </w:rPr>
              <w:t>ој</w:t>
            </w:r>
            <w:r>
              <w:rPr>
                <w:iCs/>
                <w:sz w:val="20"/>
                <w:szCs w:val="20"/>
                <w:lang w:val="ru-RU" w:eastAsia="en-GB"/>
              </w:rPr>
              <w:t xml:space="preserve"> 45/2010)</w:t>
            </w:r>
            <w:r>
              <w:rPr>
                <w:iCs/>
                <w:sz w:val="20"/>
                <w:szCs w:val="20"/>
                <w:lang w:eastAsia="en-GB"/>
              </w:rPr>
              <w:t>.</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lastRenderedPageBreak/>
              <w:t>2.1.7.</w:t>
            </w:r>
          </w:p>
        </w:tc>
        <w:tc>
          <w:tcPr>
            <w:tcW w:w="4583" w:type="dxa"/>
            <w:gridSpan w:val="2"/>
            <w:tcBorders>
              <w:top w:val="single" w:sz="4" w:space="0" w:color="000000"/>
              <w:left w:val="single" w:sz="4" w:space="0" w:color="000000"/>
              <w:bottom w:val="single" w:sz="4" w:space="0" w:color="000000"/>
              <w:right w:val="single" w:sz="4" w:space="0" w:color="000000"/>
            </w:tcBorders>
          </w:tcPr>
          <w:p w:rsidR="0017553A" w:rsidRDefault="0017553A">
            <w:pPr>
              <w:pStyle w:val="CM1"/>
              <w:jc w:val="both"/>
              <w:rPr>
                <w:rFonts w:ascii="Times New Roman" w:hAnsi="Times New Roman"/>
                <w:sz w:val="20"/>
                <w:szCs w:val="20"/>
              </w:rPr>
            </w:pPr>
            <w:r>
              <w:rPr>
                <w:rFonts w:ascii="Times New Roman" w:hAnsi="Times New Roman"/>
                <w:sz w:val="20"/>
                <w:szCs w:val="20"/>
                <w:lang w:eastAsia="en-GB"/>
              </w:rPr>
              <w:t>‘service’ means any self-employed economic activity normally provided for remuneration, as defined in Article 57 TFEU;</w:t>
            </w:r>
            <w:r>
              <w:rPr>
                <w:rFonts w:ascii="Times New Roman" w:hAnsi="Times New Roman"/>
                <w:sz w:val="20"/>
                <w:szCs w:val="20"/>
              </w:rPr>
              <w:t xml:space="preserve"> </w:t>
            </w:r>
          </w:p>
          <w:p w:rsidR="0017553A" w:rsidRDefault="0017553A">
            <w:pPr>
              <w:pStyle w:val="CM3"/>
              <w:jc w:val="both"/>
              <w:rPr>
                <w:rFonts w:ascii="Times New Roman" w:hAnsi="Times New Roman"/>
                <w:sz w:val="20"/>
                <w:szCs w:val="20"/>
              </w:rPr>
            </w:pPr>
          </w:p>
          <w:p w:rsidR="0017553A" w:rsidRDefault="0017553A">
            <w:pPr>
              <w:rPr>
                <w:rFonts w:ascii="Times New Roman" w:hAnsi="Times New Roman"/>
                <w:b/>
                <w:sz w:val="20"/>
                <w:szCs w:val="20"/>
                <w:lang w:val="sr-Cyrl-CS" w:eastAsia="en-GB"/>
              </w:rPr>
            </w:pP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highlight w:val="magenta"/>
                <w:lang w:val="sr-Cyrl-CS" w:eastAsia="en-GB"/>
              </w:rPr>
            </w:pPr>
            <w:r>
              <w:rPr>
                <w:b/>
                <w:sz w:val="20"/>
                <w:szCs w:val="20"/>
                <w:lang w:val="sr-Cyrl-CS" w:eastAsia="en-GB"/>
              </w:rPr>
              <w:t>НУ</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 xml:space="preserve">Образложење оцене: </w:t>
            </w:r>
          </w:p>
          <w:p w:rsidR="0017553A" w:rsidRDefault="0017553A">
            <w:pPr>
              <w:spacing w:after="0"/>
              <w:rPr>
                <w:sz w:val="20"/>
                <w:szCs w:val="20"/>
                <w:lang w:val="en-GB" w:eastAsia="en-GB"/>
              </w:rPr>
            </w:pPr>
            <w:r>
              <w:rPr>
                <w:sz w:val="20"/>
                <w:szCs w:val="20"/>
                <w:lang w:val="sr-Cyrl-CS" w:eastAsia="en-GB"/>
              </w:rPr>
              <w:t xml:space="preserve">У национално законодавство није  пренета одредба </w:t>
            </w:r>
            <w:r>
              <w:rPr>
                <w:sz w:val="20"/>
                <w:szCs w:val="20"/>
                <w:lang w:eastAsia="en-GB"/>
              </w:rPr>
              <w:t>2.1.5.</w:t>
            </w:r>
            <w:r>
              <w:rPr>
                <w:sz w:val="20"/>
                <w:szCs w:val="20"/>
                <w:lang w:val="sr-Cyrl-CS" w:eastAsia="en-GB"/>
              </w:rPr>
              <w:t xml:space="preserve"> Уредбе, а</w:t>
            </w:r>
            <w:r>
              <w:rPr>
                <w:sz w:val="20"/>
                <w:szCs w:val="20"/>
                <w:lang w:val="sr-Latn-CS" w:eastAsia="en-GB"/>
              </w:rPr>
              <w:t xml:space="preserve"> </w:t>
            </w:r>
            <w:r>
              <w:rPr>
                <w:sz w:val="20"/>
                <w:szCs w:val="20"/>
                <w:lang w:val="sr-Cyrl-CS" w:eastAsia="en-GB"/>
              </w:rPr>
              <w:t xml:space="preserve">потпуно усаглашавање са овом одредбом планирано је  изменама  </w:t>
            </w:r>
            <w:r>
              <w:rPr>
                <w:iCs/>
                <w:sz w:val="20"/>
                <w:szCs w:val="20"/>
                <w:lang w:val="sr-Cyrl-CS" w:eastAsia="en-GB"/>
              </w:rPr>
              <w:t xml:space="preserve"> Уредбе о </w:t>
            </w:r>
            <w:r>
              <w:rPr>
                <w:iCs/>
                <w:sz w:val="20"/>
                <w:szCs w:val="20"/>
                <w:lang w:val="ru-RU" w:eastAsia="en-GB"/>
              </w:rPr>
              <w:t xml:space="preserve"> поступку пријављивања и начину информисања који се односе на техничке прописе, оцењивање усаглашености и </w:t>
            </w:r>
            <w:r>
              <w:rPr>
                <w:iCs/>
                <w:sz w:val="20"/>
                <w:szCs w:val="20"/>
                <w:lang w:val="sr-Cyrl-CS" w:eastAsia="en-GB"/>
              </w:rPr>
              <w:t>с</w:t>
            </w:r>
            <w:r>
              <w:rPr>
                <w:iCs/>
                <w:sz w:val="20"/>
                <w:szCs w:val="20"/>
                <w:lang w:val="ru-RU" w:eastAsia="en-GB"/>
              </w:rPr>
              <w:t>тандарде</w:t>
            </w:r>
            <w:r>
              <w:rPr>
                <w:iCs/>
                <w:sz w:val="20"/>
                <w:szCs w:val="20"/>
                <w:lang w:val="sr-Cyrl-CS" w:eastAsia="en-GB"/>
              </w:rPr>
              <w:t xml:space="preserve">  </w:t>
            </w:r>
            <w:r>
              <w:rPr>
                <w:iCs/>
                <w:sz w:val="20"/>
                <w:szCs w:val="20"/>
                <w:lang w:val="ru-RU" w:eastAsia="en-GB"/>
              </w:rPr>
              <w:t>("Сл</w:t>
            </w:r>
            <w:r>
              <w:rPr>
                <w:iCs/>
                <w:sz w:val="20"/>
                <w:szCs w:val="20"/>
                <w:lang w:val="sr-Cyrl-CS" w:eastAsia="en-GB"/>
              </w:rPr>
              <w:t>ужбени</w:t>
            </w:r>
            <w:r>
              <w:rPr>
                <w:iCs/>
                <w:sz w:val="20"/>
                <w:szCs w:val="20"/>
                <w:lang w:val="ru-RU" w:eastAsia="en-GB"/>
              </w:rPr>
              <w:t xml:space="preserve"> гласник РС", бр</w:t>
            </w:r>
            <w:r>
              <w:rPr>
                <w:iCs/>
                <w:sz w:val="20"/>
                <w:szCs w:val="20"/>
                <w:lang w:val="sr-Cyrl-CS" w:eastAsia="en-GB"/>
              </w:rPr>
              <w:t>ој</w:t>
            </w:r>
            <w:r>
              <w:rPr>
                <w:iCs/>
                <w:sz w:val="20"/>
                <w:szCs w:val="20"/>
                <w:lang w:val="ru-RU" w:eastAsia="en-GB"/>
              </w:rPr>
              <w:t xml:space="preserve"> 45/2010)</w:t>
            </w:r>
            <w:r>
              <w:rPr>
                <w:iCs/>
                <w:sz w:val="20"/>
                <w:szCs w:val="20"/>
                <w:lang w:eastAsia="en-GB"/>
              </w:rPr>
              <w:t>.</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2.1.8.</w:t>
            </w:r>
          </w:p>
        </w:tc>
        <w:tc>
          <w:tcPr>
            <w:tcW w:w="4583" w:type="dxa"/>
            <w:gridSpan w:val="2"/>
            <w:tcBorders>
              <w:top w:val="single" w:sz="4" w:space="0" w:color="000000"/>
              <w:left w:val="single" w:sz="4" w:space="0" w:color="000000"/>
              <w:bottom w:val="single" w:sz="4" w:space="0" w:color="000000"/>
              <w:right w:val="single" w:sz="4" w:space="0" w:color="000000"/>
            </w:tcBorders>
          </w:tcPr>
          <w:p w:rsidR="0017553A" w:rsidRDefault="0017553A">
            <w:pPr>
              <w:pStyle w:val="CM4"/>
              <w:jc w:val="both"/>
              <w:rPr>
                <w:rFonts w:ascii="Times New Roman" w:hAnsi="Times New Roman"/>
                <w:sz w:val="20"/>
                <w:szCs w:val="20"/>
                <w:lang w:eastAsia="en-GB"/>
              </w:rPr>
            </w:pPr>
            <w:r>
              <w:rPr>
                <w:rFonts w:ascii="Times New Roman" w:hAnsi="Times New Roman"/>
                <w:sz w:val="20"/>
                <w:szCs w:val="20"/>
                <w:lang w:eastAsia="en-GB"/>
              </w:rPr>
              <w:t xml:space="preserve">’European standardisation organisation’ means an organisation listed in Annex I; </w:t>
            </w:r>
          </w:p>
          <w:p w:rsidR="0017553A" w:rsidRDefault="0017553A">
            <w:pPr>
              <w:spacing w:after="0"/>
              <w:rPr>
                <w:rFonts w:ascii="Times New Roman" w:hAnsi="Times New Roman"/>
                <w:b/>
                <w:sz w:val="20"/>
                <w:szCs w:val="20"/>
                <w:lang w:val="sr-Cyrl-CS" w:eastAsia="en-GB"/>
              </w:rPr>
            </w:pPr>
          </w:p>
        </w:tc>
        <w:tc>
          <w:tcPr>
            <w:tcW w:w="993"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0.1</w:t>
            </w:r>
          </w:p>
          <w:p w:rsidR="0017553A" w:rsidRDefault="0017553A">
            <w:pPr>
              <w:spacing w:after="0"/>
              <w:rPr>
                <w:b/>
                <w:sz w:val="20"/>
                <w:szCs w:val="20"/>
                <w:lang w:val="sr-Cyrl-CS" w:eastAsia="en-GB"/>
              </w:rPr>
            </w:pPr>
            <w:r>
              <w:rPr>
                <w:b/>
                <w:sz w:val="20"/>
                <w:szCs w:val="20"/>
                <w:lang w:val="sr-Cyrl-CS" w:eastAsia="en-GB"/>
              </w:rPr>
              <w:t>3.1.17.</w:t>
            </w:r>
          </w:p>
        </w:tc>
        <w:tc>
          <w:tcPr>
            <w:tcW w:w="3827" w:type="dxa"/>
            <w:tcBorders>
              <w:top w:val="single" w:sz="4" w:space="0" w:color="000000"/>
              <w:left w:val="single" w:sz="4" w:space="0" w:color="000000"/>
              <w:bottom w:val="single" w:sz="4" w:space="0" w:color="000000"/>
              <w:right w:val="single" w:sz="4" w:space="0" w:color="000000"/>
            </w:tcBorders>
            <w:hideMark/>
          </w:tcPr>
          <w:p w:rsidR="0017553A" w:rsidRDefault="0017553A">
            <w:pPr>
              <w:autoSpaceDE w:val="0"/>
              <w:autoSpaceDN w:val="0"/>
              <w:adjustRightInd w:val="0"/>
              <w:spacing w:after="0"/>
              <w:ind w:firstLine="151"/>
              <w:rPr>
                <w:sz w:val="20"/>
                <w:szCs w:val="20"/>
                <w:lang w:val="en-GB"/>
              </w:rPr>
            </w:pPr>
            <w:r>
              <w:rPr>
                <w:i/>
                <w:sz w:val="20"/>
                <w:szCs w:val="20"/>
              </w:rPr>
              <w:t>ЕВРОПСКЕ ОРГАНИЗАЦИЈЕ ЗА СТАНДАРДИЗАЦИЈУ</w:t>
            </w:r>
            <w:r>
              <w:rPr>
                <w:sz w:val="20"/>
                <w:szCs w:val="20"/>
              </w:rPr>
              <w:t xml:space="preserve"> СУ:</w:t>
            </w:r>
          </w:p>
          <w:p w:rsidR="0017553A" w:rsidRDefault="0017553A">
            <w:pPr>
              <w:autoSpaceDE w:val="0"/>
              <w:autoSpaceDN w:val="0"/>
              <w:adjustRightInd w:val="0"/>
              <w:spacing w:after="0"/>
              <w:ind w:firstLine="151"/>
              <w:rPr>
                <w:sz w:val="20"/>
                <w:szCs w:val="20"/>
              </w:rPr>
            </w:pPr>
            <w:r>
              <w:rPr>
                <w:sz w:val="20"/>
                <w:szCs w:val="20"/>
                <w:lang w:val="sr-Cyrl-RS"/>
              </w:rPr>
              <w:t xml:space="preserve">- </w:t>
            </w:r>
            <w:r>
              <w:rPr>
                <w:sz w:val="20"/>
                <w:szCs w:val="20"/>
              </w:rPr>
              <w:t>ЕВРОПСКИ КОМИТЕТ ЗА СТАНДАРДИЗАЦИЈУ (CEN);</w:t>
            </w:r>
          </w:p>
          <w:p w:rsidR="0017553A" w:rsidRDefault="0017553A">
            <w:pPr>
              <w:autoSpaceDE w:val="0"/>
              <w:autoSpaceDN w:val="0"/>
              <w:adjustRightInd w:val="0"/>
              <w:spacing w:after="0"/>
              <w:ind w:firstLine="151"/>
              <w:rPr>
                <w:sz w:val="20"/>
                <w:szCs w:val="20"/>
              </w:rPr>
            </w:pPr>
            <w:r>
              <w:rPr>
                <w:sz w:val="20"/>
                <w:szCs w:val="20"/>
                <w:lang w:val="sr-Cyrl-RS"/>
              </w:rPr>
              <w:t xml:space="preserve">- </w:t>
            </w:r>
            <w:r>
              <w:rPr>
                <w:sz w:val="20"/>
                <w:szCs w:val="20"/>
              </w:rPr>
              <w:t>ЕВРОПСКИ КОМИТЕТ ЗА СТАНДАРДИЗАЦИЈУ У ОБЛАСТИ ЕЛЕКТРОТЕХНИКЕ (CENELEC);</w:t>
            </w:r>
          </w:p>
          <w:p w:rsidR="0017553A" w:rsidRDefault="0017553A">
            <w:pPr>
              <w:spacing w:after="0"/>
              <w:ind w:firstLine="151"/>
              <w:rPr>
                <w:sz w:val="20"/>
                <w:szCs w:val="20"/>
                <w:lang w:val="sr-Cyrl-CS" w:eastAsia="en-GB"/>
              </w:rPr>
            </w:pPr>
            <w:r>
              <w:rPr>
                <w:sz w:val="20"/>
                <w:szCs w:val="20"/>
                <w:lang w:val="sr-Cyrl-RS"/>
              </w:rPr>
              <w:t xml:space="preserve">- </w:t>
            </w:r>
            <w:r>
              <w:rPr>
                <w:sz w:val="20"/>
                <w:szCs w:val="20"/>
              </w:rPr>
              <w:t>ЕВРОПСКИ ИНСТИТУТ ЗА СТАНДАРДЕ ИЗ ОБЛАСТИ ТЕЛЕКОМУНИКАЦИЈА (ETSI)</w:t>
            </w:r>
            <w:r>
              <w:rPr>
                <w:sz w:val="20"/>
                <w:szCs w:val="20"/>
                <w:lang w:val="sr-Cyrl-RS"/>
              </w:rPr>
              <w:t>;</w:t>
            </w: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ПУ</w:t>
            </w:r>
          </w:p>
        </w:tc>
        <w:tc>
          <w:tcPr>
            <w:tcW w:w="2410" w:type="dxa"/>
            <w:gridSpan w:val="2"/>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2.1.9.</w:t>
            </w:r>
          </w:p>
        </w:tc>
        <w:tc>
          <w:tcPr>
            <w:tcW w:w="4583" w:type="dxa"/>
            <w:gridSpan w:val="2"/>
            <w:tcBorders>
              <w:top w:val="single" w:sz="4" w:space="0" w:color="000000"/>
              <w:left w:val="single" w:sz="4" w:space="0" w:color="000000"/>
              <w:bottom w:val="single" w:sz="4" w:space="0" w:color="000000"/>
              <w:right w:val="single" w:sz="4" w:space="0" w:color="000000"/>
            </w:tcBorders>
          </w:tcPr>
          <w:p w:rsidR="0017553A" w:rsidRDefault="0017553A">
            <w:pPr>
              <w:pStyle w:val="CM4"/>
              <w:jc w:val="both"/>
              <w:rPr>
                <w:rFonts w:ascii="Times New Roman" w:hAnsi="Times New Roman"/>
                <w:sz w:val="20"/>
                <w:szCs w:val="20"/>
                <w:lang w:eastAsia="en-GB"/>
              </w:rPr>
            </w:pPr>
            <w:r>
              <w:rPr>
                <w:rFonts w:ascii="Times New Roman" w:hAnsi="Times New Roman"/>
                <w:sz w:val="20"/>
                <w:szCs w:val="20"/>
                <w:lang w:eastAsia="en-GB"/>
              </w:rPr>
              <w:t xml:space="preserve">‘international standardisation body’ means the International Organisation for Standardisation (ISO), the International Electrotechnical Commission (IEC) and the International Telecommunication Union (ITU); </w:t>
            </w:r>
          </w:p>
          <w:p w:rsidR="0017553A" w:rsidRDefault="0017553A">
            <w:pPr>
              <w:spacing w:after="0"/>
              <w:rPr>
                <w:rFonts w:ascii="Times New Roman" w:hAnsi="Times New Roman"/>
                <w:b/>
                <w:sz w:val="20"/>
                <w:szCs w:val="20"/>
                <w:lang w:val="sr-Cyrl-CS" w:eastAsia="en-GB"/>
              </w:rPr>
            </w:pPr>
          </w:p>
        </w:tc>
        <w:tc>
          <w:tcPr>
            <w:tcW w:w="993"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lastRenderedPageBreak/>
              <w:t>0.1</w:t>
            </w:r>
          </w:p>
          <w:p w:rsidR="0017553A" w:rsidRDefault="0017553A">
            <w:pPr>
              <w:spacing w:after="0"/>
              <w:rPr>
                <w:b/>
                <w:sz w:val="20"/>
                <w:szCs w:val="20"/>
                <w:lang w:val="sr-Latn-CS" w:eastAsia="en-GB"/>
              </w:rPr>
            </w:pPr>
            <w:r>
              <w:rPr>
                <w:b/>
                <w:sz w:val="20"/>
                <w:szCs w:val="20"/>
                <w:lang w:val="sr-Latn-CS" w:eastAsia="en-GB"/>
              </w:rPr>
              <w:t>3.1.1</w:t>
            </w:r>
            <w:r>
              <w:rPr>
                <w:b/>
                <w:sz w:val="20"/>
                <w:szCs w:val="20"/>
                <w:lang w:val="sr-Cyrl-CS" w:eastAsia="en-GB"/>
              </w:rPr>
              <w:t>6</w:t>
            </w:r>
            <w:r>
              <w:rPr>
                <w:b/>
                <w:sz w:val="20"/>
                <w:szCs w:val="20"/>
                <w:lang w:val="sr-Latn-CS" w:eastAsia="en-GB"/>
              </w:rPr>
              <w:t>.</w:t>
            </w: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autoSpaceDE w:val="0"/>
              <w:autoSpaceDN w:val="0"/>
              <w:adjustRightInd w:val="0"/>
              <w:spacing w:after="0"/>
              <w:ind w:firstLine="151"/>
              <w:rPr>
                <w:sz w:val="20"/>
                <w:szCs w:val="20"/>
                <w:lang w:val="en-GB"/>
              </w:rPr>
            </w:pPr>
            <w:r>
              <w:rPr>
                <w:i/>
                <w:iCs/>
                <w:lang w:val="ru-RU" w:eastAsia="en-GB"/>
              </w:rPr>
              <w:t xml:space="preserve"> </w:t>
            </w:r>
            <w:r>
              <w:rPr>
                <w:i/>
                <w:szCs w:val="24"/>
                <w:lang w:val="sr-Latn-RS"/>
              </w:rPr>
              <w:t xml:space="preserve"> </w:t>
            </w:r>
            <w:r>
              <w:rPr>
                <w:i/>
                <w:sz w:val="20"/>
                <w:szCs w:val="20"/>
              </w:rPr>
              <w:t>МЕЂУНАРОДНЕ ОРГАНИЗАЦИЈЕ ЗА СТАНДАРДИЗАЦИЈУ</w:t>
            </w:r>
            <w:r>
              <w:rPr>
                <w:sz w:val="20"/>
                <w:szCs w:val="20"/>
              </w:rPr>
              <w:t xml:space="preserve"> СУ:</w:t>
            </w:r>
          </w:p>
          <w:p w:rsidR="0017553A" w:rsidRDefault="0017553A">
            <w:pPr>
              <w:tabs>
                <w:tab w:val="left" w:pos="346"/>
              </w:tabs>
              <w:autoSpaceDE w:val="0"/>
              <w:autoSpaceDN w:val="0"/>
              <w:adjustRightInd w:val="0"/>
              <w:spacing w:after="0"/>
              <w:ind w:left="-29" w:firstLine="180"/>
              <w:rPr>
                <w:sz w:val="20"/>
                <w:szCs w:val="20"/>
              </w:rPr>
            </w:pPr>
            <w:r>
              <w:rPr>
                <w:sz w:val="20"/>
                <w:szCs w:val="20"/>
                <w:lang w:val="sr-Cyrl-RS"/>
              </w:rPr>
              <w:lastRenderedPageBreak/>
              <w:t xml:space="preserve">- </w:t>
            </w:r>
            <w:r>
              <w:rPr>
                <w:sz w:val="20"/>
                <w:szCs w:val="20"/>
              </w:rPr>
              <w:t>МЕЂУНАРОДНА ОРГАНИЗАЦИЈА ЗА СТАНДАРДИЗАЦИЈУ (ISO);</w:t>
            </w:r>
          </w:p>
          <w:p w:rsidR="0017553A" w:rsidRDefault="0017553A">
            <w:pPr>
              <w:autoSpaceDE w:val="0"/>
              <w:autoSpaceDN w:val="0"/>
              <w:adjustRightInd w:val="0"/>
              <w:spacing w:after="0"/>
              <w:ind w:left="-29" w:firstLine="180"/>
              <w:rPr>
                <w:sz w:val="20"/>
                <w:szCs w:val="20"/>
              </w:rPr>
            </w:pPr>
            <w:r>
              <w:rPr>
                <w:sz w:val="20"/>
                <w:szCs w:val="20"/>
                <w:lang w:val="sr-Cyrl-RS"/>
              </w:rPr>
              <w:t xml:space="preserve">- </w:t>
            </w:r>
            <w:r>
              <w:rPr>
                <w:sz w:val="20"/>
                <w:szCs w:val="20"/>
              </w:rPr>
              <w:t>МЕЂУНАРОДНА ЕЛЕКТРОТЕХНИЧКА КОМИСИЈА (IEC);</w:t>
            </w:r>
          </w:p>
          <w:p w:rsidR="0017553A" w:rsidRDefault="0017553A">
            <w:pPr>
              <w:autoSpaceDE w:val="0"/>
              <w:autoSpaceDN w:val="0"/>
              <w:adjustRightInd w:val="0"/>
              <w:spacing w:after="0"/>
              <w:ind w:left="-29" w:firstLine="180"/>
              <w:rPr>
                <w:sz w:val="20"/>
                <w:szCs w:val="20"/>
              </w:rPr>
            </w:pPr>
            <w:r>
              <w:rPr>
                <w:sz w:val="20"/>
                <w:szCs w:val="20"/>
                <w:lang w:val="sr-Cyrl-RS"/>
              </w:rPr>
              <w:t xml:space="preserve">- </w:t>
            </w:r>
            <w:r>
              <w:rPr>
                <w:sz w:val="20"/>
                <w:szCs w:val="20"/>
              </w:rPr>
              <w:t>МЕЂУНАРОДНА УНИЈА ЗА ТЕЛЕКОМУНИКАЦИЈЕ (ITU)</w:t>
            </w:r>
            <w:r>
              <w:rPr>
                <w:sz w:val="20"/>
                <w:szCs w:val="20"/>
                <w:lang w:val="sr-Cyrl-RS"/>
              </w:rPr>
              <w:t>;</w:t>
            </w:r>
          </w:p>
          <w:p w:rsidR="0017553A" w:rsidRDefault="0017553A">
            <w:pPr>
              <w:pStyle w:val="1tekst"/>
              <w:ind w:left="0" w:hanging="110"/>
              <w:jc w:val="left"/>
              <w:rPr>
                <w:rFonts w:ascii="Times New Roman" w:hAnsi="Times New Roman" w:cs="Times New Roman"/>
                <w:lang w:val="ru-RU"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rFonts w:ascii="Times New Roman" w:hAnsi="Times New Roman"/>
                <w:b/>
                <w:sz w:val="20"/>
                <w:szCs w:val="20"/>
                <w:lang w:val="sr-Latn-CS" w:eastAsia="en-GB"/>
              </w:rPr>
            </w:pPr>
            <w:r>
              <w:rPr>
                <w:b/>
                <w:sz w:val="20"/>
                <w:szCs w:val="20"/>
                <w:lang w:val="sr-Cyrl-CS" w:eastAsia="en-GB"/>
              </w:rPr>
              <w:lastRenderedPageBreak/>
              <w:t>ПУ</w:t>
            </w:r>
          </w:p>
        </w:tc>
        <w:tc>
          <w:tcPr>
            <w:tcW w:w="2410" w:type="dxa"/>
            <w:gridSpan w:val="2"/>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lastRenderedPageBreak/>
              <w:t>2.1.10.</w:t>
            </w:r>
          </w:p>
        </w:tc>
        <w:tc>
          <w:tcPr>
            <w:tcW w:w="4583" w:type="dxa"/>
            <w:gridSpan w:val="2"/>
            <w:tcBorders>
              <w:top w:val="single" w:sz="4" w:space="0" w:color="000000"/>
              <w:left w:val="single" w:sz="4" w:space="0" w:color="000000"/>
              <w:bottom w:val="single" w:sz="4" w:space="0" w:color="000000"/>
              <w:right w:val="single" w:sz="4" w:space="0" w:color="000000"/>
            </w:tcBorders>
          </w:tcPr>
          <w:p w:rsidR="0017553A" w:rsidRDefault="0017553A">
            <w:pPr>
              <w:pStyle w:val="CM4"/>
              <w:jc w:val="both"/>
              <w:rPr>
                <w:rFonts w:ascii="Times New Roman" w:hAnsi="Times New Roman"/>
                <w:sz w:val="20"/>
                <w:szCs w:val="20"/>
                <w:lang w:eastAsia="en-GB"/>
              </w:rPr>
            </w:pPr>
            <w:r>
              <w:rPr>
                <w:rFonts w:ascii="Times New Roman" w:hAnsi="Times New Roman"/>
                <w:sz w:val="20"/>
                <w:szCs w:val="20"/>
                <w:lang w:eastAsia="en-GB"/>
              </w:rPr>
              <w:t xml:space="preserve">„national standardisation body’’means a body notified to the Commission by a Member State in accordance with Article 27 of this Regulation. </w:t>
            </w:r>
          </w:p>
          <w:p w:rsidR="0017553A" w:rsidRDefault="0017553A">
            <w:pPr>
              <w:spacing w:after="0"/>
              <w:rPr>
                <w:rFonts w:ascii="Times New Roman" w:hAnsi="Times New Roman"/>
                <w:b/>
                <w:sz w:val="20"/>
                <w:szCs w:val="20"/>
                <w:lang w:val="sr-Cyrl-CS" w:eastAsia="en-GB"/>
              </w:rPr>
            </w:pP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val="sr-Cyrl-CS" w:eastAsia="en-GB"/>
              </w:rPr>
              <w:t>0.1.</w:t>
            </w:r>
          </w:p>
          <w:p w:rsidR="0017553A" w:rsidRDefault="0017553A">
            <w:pPr>
              <w:spacing w:after="0"/>
              <w:rPr>
                <w:b/>
                <w:sz w:val="20"/>
                <w:szCs w:val="20"/>
                <w:lang w:val="sr-Cyrl-CS" w:eastAsia="en-GB"/>
              </w:rPr>
            </w:pPr>
            <w:r>
              <w:rPr>
                <w:b/>
                <w:sz w:val="20"/>
                <w:szCs w:val="20"/>
                <w:lang w:val="sr-Latn-CS" w:eastAsia="en-GB"/>
              </w:rPr>
              <w:t>3.1.1</w:t>
            </w:r>
            <w:r>
              <w:rPr>
                <w:b/>
                <w:sz w:val="20"/>
                <w:szCs w:val="20"/>
                <w:lang w:val="sr-Cyrl-CS" w:eastAsia="en-GB"/>
              </w:rPr>
              <w:t>8</w:t>
            </w:r>
            <w:r>
              <w:rPr>
                <w:b/>
                <w:sz w:val="20"/>
                <w:szCs w:val="20"/>
                <w:lang w:val="sr-Latn-CS" w:eastAsia="en-GB"/>
              </w:rPr>
              <w:t>.</w:t>
            </w: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en-GB"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r>
              <w:rPr>
                <w:b/>
                <w:sz w:val="20"/>
                <w:szCs w:val="20"/>
                <w:lang w:val="sr-Cyrl-CS" w:eastAsia="en-GB"/>
              </w:rPr>
              <w:t>0.1.</w:t>
            </w:r>
          </w:p>
          <w:p w:rsidR="0017553A" w:rsidRDefault="0017553A">
            <w:pPr>
              <w:spacing w:after="0"/>
              <w:rPr>
                <w:b/>
                <w:sz w:val="20"/>
                <w:szCs w:val="20"/>
                <w:lang w:val="sr-Cyrl-CS" w:eastAsia="en-GB"/>
              </w:rPr>
            </w:pPr>
            <w:r>
              <w:rPr>
                <w:b/>
                <w:sz w:val="20"/>
                <w:szCs w:val="20"/>
                <w:lang w:val="sr-Cyrl-CS" w:eastAsia="en-GB"/>
              </w:rPr>
              <w:t>6.3</w:t>
            </w:r>
            <w:r>
              <w:rPr>
                <w:b/>
                <w:sz w:val="20"/>
                <w:szCs w:val="20"/>
                <w:lang w:val="sr-Latn-CS" w:eastAsia="en-GB"/>
              </w:rPr>
              <w:t>.</w:t>
            </w: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hideMark/>
          </w:tcPr>
          <w:p w:rsidR="0017553A" w:rsidRDefault="0017553A">
            <w:pPr>
              <w:pStyle w:val="Normal1"/>
              <w:rPr>
                <w:rFonts w:ascii="Times New Roman" w:hAnsi="Times New Roman" w:cs="Times New Roman"/>
                <w:sz w:val="20"/>
                <w:szCs w:val="20"/>
                <w:lang w:val="sr-Cyrl-CS"/>
              </w:rPr>
            </w:pPr>
            <w:r>
              <w:rPr>
                <w:rFonts w:ascii="Times New Roman" w:hAnsi="Times New Roman" w:cs="Times New Roman"/>
                <w:sz w:val="20"/>
                <w:szCs w:val="20"/>
              </w:rPr>
              <w:t xml:space="preserve">НАЦИОНАЛНО ТЕЛО ЗА СТАНДАРДИЗАЦИЈУ ЈЕ </w:t>
            </w:r>
            <w:r>
              <w:t xml:space="preserve"> </w:t>
            </w:r>
            <w:r>
              <w:rPr>
                <w:rFonts w:ascii="Times New Roman" w:hAnsi="Times New Roman" w:cs="Times New Roman"/>
                <w:sz w:val="20"/>
                <w:szCs w:val="20"/>
              </w:rPr>
              <w:t xml:space="preserve">ОРГАНИЗАЦИЈА  ЗА СТАНДАРДИЗАЦИЈУ КОЈЕ ЈЕ </w:t>
            </w:r>
            <w:r>
              <w:rPr>
                <w:rFonts w:ascii="Times New Roman" w:hAnsi="Times New Roman" w:cs="Times New Roman"/>
                <w:sz w:val="20"/>
                <w:szCs w:val="20"/>
                <w:lang w:val="sr-Cyrl-CS"/>
              </w:rPr>
              <w:t xml:space="preserve">ПРИЗНАТО </w:t>
            </w:r>
            <w:r>
              <w:rPr>
                <w:rFonts w:ascii="Times New Roman" w:eastAsia="Calibri" w:hAnsi="Times New Roman" w:cs="Times New Roman"/>
                <w:sz w:val="20"/>
                <w:szCs w:val="20"/>
                <w:lang w:val="sr-Cyrl-CS" w:eastAsia="en-GB"/>
              </w:rPr>
              <w:t xml:space="preserve"> </w:t>
            </w:r>
            <w:r>
              <w:rPr>
                <w:rFonts w:ascii="Times New Roman" w:hAnsi="Times New Roman" w:cs="Times New Roman"/>
                <w:sz w:val="20"/>
                <w:szCs w:val="20"/>
                <w:lang w:val="sr-Cyrl-CS"/>
              </w:rPr>
              <w:t xml:space="preserve">ОД СТРАНЕ ДРЖАВЕ, А КОЈЕ </w:t>
            </w:r>
            <w:r>
              <w:rPr>
                <w:rFonts w:ascii="Times New Roman" w:hAnsi="Times New Roman" w:cs="Times New Roman"/>
                <w:sz w:val="20"/>
                <w:szCs w:val="20"/>
              </w:rPr>
              <w:t>МОЖЕ БИТИ ЧЛАН ОДГОВАРАЈУЋЕ МЕЂУНАРОДНЕ ИЛИ ЕВРОПСКЕ ОРГАНИЗАЦИЈЕ ЗА СТАНДАРДИЗАЦИЈУ</w:t>
            </w:r>
          </w:p>
          <w:p w:rsidR="0017553A" w:rsidRDefault="0017553A">
            <w:pPr>
              <w:autoSpaceDE w:val="0"/>
              <w:autoSpaceDN w:val="0"/>
              <w:adjustRightInd w:val="0"/>
              <w:spacing w:after="60"/>
              <w:ind w:firstLine="33"/>
              <w:rPr>
                <w:rFonts w:ascii="Times New Roman" w:hAnsi="Times New Roman"/>
                <w:sz w:val="20"/>
                <w:szCs w:val="20"/>
                <w:lang w:val="sr-Cyrl-CS"/>
              </w:rPr>
            </w:pPr>
            <w:r>
              <w:rPr>
                <w:sz w:val="20"/>
                <w:szCs w:val="20"/>
              </w:rPr>
              <w:t>МИНИСТАРСТВО НАДЛЕЖНО ЗА</w:t>
            </w:r>
            <w:r>
              <w:rPr>
                <w:sz w:val="20"/>
                <w:szCs w:val="20"/>
                <w:lang w:val="sr-Cyrl-CS"/>
              </w:rPr>
              <w:t xml:space="preserve"> </w:t>
            </w:r>
            <w:r>
              <w:rPr>
                <w:sz w:val="20"/>
                <w:szCs w:val="20"/>
              </w:rPr>
              <w:t xml:space="preserve">ПОСЛОВЕ СТАНДАРДИЗАЦИЈЕ </w:t>
            </w:r>
            <w:r>
              <w:rPr>
                <w:szCs w:val="24"/>
                <w:lang w:val="sr-Cyrl-RS"/>
              </w:rPr>
              <w:t xml:space="preserve"> </w:t>
            </w:r>
            <w:r>
              <w:rPr>
                <w:sz w:val="20"/>
                <w:szCs w:val="20"/>
                <w:lang w:val="sr-Cyrl-RS"/>
              </w:rPr>
              <w:t xml:space="preserve">ИНФОРМИШЕ МЕЂУНАРОДНЕ И ДРУГЕ ОРГАНИЗАЦИЈЕ </w:t>
            </w:r>
            <w:r>
              <w:rPr>
                <w:sz w:val="20"/>
                <w:szCs w:val="20"/>
              </w:rPr>
              <w:t xml:space="preserve"> О НАЦИОНАЛНОМ ТЕЛУ ЗА СТАНДАРДИЗАЦИЈУ У РЕПУБЛИЦИ СРБИЈИ, </w:t>
            </w:r>
            <w:r>
              <w:rPr>
                <w:szCs w:val="24"/>
                <w:lang w:val="sr-Cyrl-RS"/>
              </w:rPr>
              <w:t xml:space="preserve"> </w:t>
            </w:r>
            <w:r>
              <w:rPr>
                <w:sz w:val="20"/>
                <w:szCs w:val="20"/>
                <w:lang w:val="sr-Cyrl-RS"/>
              </w:rPr>
              <w:t>У СКЛАДУ СА ПРОПИСОМ КОЈИМ СЕ УРЕЂУЈЕ ПОСТУПАК ПРИЈАВЉИВАЊА И НАЧИН ИНФОРМИСАЊА О ТЕХНИЧКИМ ПРОПИСИМА И СТАНДАРДИМА</w:t>
            </w:r>
            <w:r>
              <w:rPr>
                <w:sz w:val="20"/>
                <w:szCs w:val="20"/>
              </w:rPr>
              <w:t>.</w:t>
            </w:r>
          </w:p>
        </w:tc>
        <w:tc>
          <w:tcPr>
            <w:tcW w:w="992"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val="sr-Cyrl-CS" w:eastAsia="en-GB"/>
              </w:rPr>
              <w:t>ПУ</w:t>
            </w:r>
          </w:p>
          <w:p w:rsidR="0017553A" w:rsidRDefault="0017553A">
            <w:pPr>
              <w:spacing w:after="0"/>
              <w:rPr>
                <w:b/>
                <w:sz w:val="20"/>
                <w:szCs w:val="20"/>
                <w:lang w:eastAsia="en-GB"/>
              </w:rPr>
            </w:pPr>
          </w:p>
          <w:p w:rsidR="0017553A" w:rsidRDefault="0017553A">
            <w:pPr>
              <w:spacing w:after="0"/>
              <w:rPr>
                <w:b/>
                <w:sz w:val="20"/>
                <w:szCs w:val="20"/>
                <w:lang w:val="sr-Cyrl-CS" w:eastAsia="en-GB"/>
              </w:rPr>
            </w:pPr>
          </w:p>
        </w:tc>
        <w:tc>
          <w:tcPr>
            <w:tcW w:w="2410" w:type="dxa"/>
            <w:gridSpan w:val="2"/>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rPr>
                <w:sz w:val="20"/>
                <w:szCs w:val="20"/>
                <w:lang w:val="sr-Cyrl-CS" w:eastAsia="en-GB"/>
              </w:rPr>
            </w:pPr>
          </w:p>
        </w:tc>
      </w:tr>
      <w:tr w:rsidR="0017553A" w:rsidTr="0017553A">
        <w:trPr>
          <w:trHeight w:val="2263"/>
        </w:trPr>
        <w:tc>
          <w:tcPr>
            <w:tcW w:w="259" w:type="dxa"/>
            <w:vMerge w:val="restart"/>
            <w:tcBorders>
              <w:top w:val="single" w:sz="4" w:space="0" w:color="auto"/>
              <w:left w:val="single" w:sz="4" w:space="0" w:color="auto"/>
              <w:bottom w:val="single" w:sz="4" w:space="0" w:color="000000"/>
              <w:right w:val="single" w:sz="4" w:space="0" w:color="000000"/>
            </w:tcBorders>
          </w:tcPr>
          <w:p w:rsidR="0017553A" w:rsidRDefault="0017553A">
            <w:pPr>
              <w:spacing w:after="0"/>
              <w:rPr>
                <w:sz w:val="20"/>
                <w:szCs w:val="20"/>
                <w:lang w:val="en-GB" w:eastAsia="en-GB"/>
              </w:rPr>
            </w:pPr>
          </w:p>
        </w:tc>
        <w:tc>
          <w:tcPr>
            <w:tcW w:w="1371" w:type="dxa"/>
            <w:tcBorders>
              <w:top w:val="single" w:sz="4" w:space="0" w:color="000000"/>
              <w:left w:val="single" w:sz="4" w:space="0" w:color="000000"/>
              <w:bottom w:val="single" w:sz="4" w:space="0" w:color="auto"/>
              <w:right w:val="single" w:sz="4" w:space="0" w:color="000000"/>
            </w:tcBorders>
          </w:tcPr>
          <w:p w:rsidR="0017553A" w:rsidRDefault="0017553A">
            <w:pPr>
              <w:spacing w:after="0"/>
              <w:rPr>
                <w:b/>
                <w:sz w:val="20"/>
                <w:szCs w:val="20"/>
                <w:lang w:eastAsia="en-GB"/>
              </w:rPr>
            </w:pPr>
            <w:r>
              <w:rPr>
                <w:b/>
                <w:sz w:val="20"/>
                <w:szCs w:val="20"/>
                <w:lang w:eastAsia="en-GB"/>
              </w:rPr>
              <w:t>3.1.</w:t>
            </w:r>
          </w:p>
          <w:p w:rsidR="0017553A" w:rsidRDefault="0017553A">
            <w:pPr>
              <w:rPr>
                <w:b/>
                <w:sz w:val="20"/>
                <w:szCs w:val="20"/>
                <w:highlight w:val="green"/>
                <w:lang w:eastAsia="en-GB"/>
              </w:rPr>
            </w:pPr>
          </w:p>
          <w:p w:rsidR="0017553A" w:rsidRDefault="0017553A">
            <w:pPr>
              <w:rPr>
                <w:b/>
                <w:sz w:val="20"/>
                <w:szCs w:val="20"/>
                <w:highlight w:val="green"/>
                <w:lang w:eastAsia="en-GB"/>
              </w:rPr>
            </w:pPr>
          </w:p>
          <w:p w:rsidR="0017553A" w:rsidRDefault="0017553A">
            <w:pPr>
              <w:rPr>
                <w:b/>
                <w:sz w:val="20"/>
                <w:szCs w:val="20"/>
                <w:highlight w:val="green"/>
                <w:lang w:eastAsia="en-GB"/>
              </w:rPr>
            </w:pPr>
          </w:p>
          <w:p w:rsidR="0017553A" w:rsidRDefault="0017553A">
            <w:pPr>
              <w:rPr>
                <w:b/>
                <w:sz w:val="20"/>
                <w:szCs w:val="20"/>
                <w:highlight w:val="green"/>
                <w:lang w:val="sr-Cyrl-CS" w:eastAsia="en-GB"/>
              </w:rPr>
            </w:pPr>
          </w:p>
          <w:p w:rsidR="0017553A" w:rsidRDefault="0017553A">
            <w:pPr>
              <w:rPr>
                <w:b/>
                <w:sz w:val="20"/>
                <w:szCs w:val="20"/>
                <w:lang w:val="sr-Cyrl-CS" w:eastAsia="en-GB"/>
              </w:rPr>
            </w:pPr>
          </w:p>
        </w:tc>
        <w:tc>
          <w:tcPr>
            <w:tcW w:w="4583" w:type="dxa"/>
            <w:gridSpan w:val="2"/>
            <w:tcBorders>
              <w:top w:val="single" w:sz="4" w:space="0" w:color="000000"/>
              <w:left w:val="single" w:sz="4" w:space="0" w:color="000000"/>
              <w:bottom w:val="single" w:sz="4" w:space="0" w:color="auto"/>
              <w:right w:val="single" w:sz="4" w:space="0" w:color="000000"/>
            </w:tcBorders>
            <w:hideMark/>
          </w:tcPr>
          <w:p w:rsidR="0017553A" w:rsidRDefault="0017553A">
            <w:pPr>
              <w:spacing w:after="0"/>
              <w:rPr>
                <w:sz w:val="20"/>
                <w:szCs w:val="20"/>
                <w:lang w:val="en-GB" w:eastAsia="en-GB"/>
              </w:rPr>
            </w:pPr>
            <w:r>
              <w:rPr>
                <w:sz w:val="20"/>
                <w:szCs w:val="20"/>
                <w:lang w:eastAsia="en-GB"/>
              </w:rPr>
              <w:t xml:space="preserve">At least once a year, each European standardisation organisation and national standardisation body shall establish its work programme. That work programme shall contain information on the standards and European standardisation deliverables which a European standardisation organisation or national standardisation body intends to prepare or amend, which it is preparing or amending and which it has adopted in the period of the preceding work programme, unless these are identical or equivalent transpositions of international or </w:t>
            </w:r>
          </w:p>
          <w:p w:rsidR="0017553A" w:rsidRDefault="0017553A">
            <w:pPr>
              <w:rPr>
                <w:b/>
                <w:sz w:val="20"/>
                <w:szCs w:val="20"/>
                <w:lang w:val="sr-Cyrl-CS" w:eastAsia="en-GB"/>
              </w:rPr>
            </w:pPr>
            <w:r>
              <w:rPr>
                <w:sz w:val="20"/>
                <w:szCs w:val="20"/>
                <w:lang w:eastAsia="en-GB"/>
              </w:rPr>
              <w:t>European standards.</w:t>
            </w:r>
          </w:p>
        </w:tc>
        <w:tc>
          <w:tcPr>
            <w:tcW w:w="993" w:type="dxa"/>
            <w:tcBorders>
              <w:top w:val="single" w:sz="4" w:space="0" w:color="000000"/>
              <w:left w:val="single" w:sz="4" w:space="0" w:color="000000"/>
              <w:bottom w:val="single" w:sz="4" w:space="0" w:color="auto"/>
              <w:right w:val="single" w:sz="4" w:space="0" w:color="000000"/>
            </w:tcBorders>
          </w:tcPr>
          <w:p w:rsidR="0017553A" w:rsidRDefault="0017553A">
            <w:pPr>
              <w:spacing w:after="0"/>
              <w:rPr>
                <w:b/>
                <w:sz w:val="20"/>
                <w:szCs w:val="20"/>
                <w:lang w:val="sr-Cyrl-CS" w:eastAsia="en-GB"/>
              </w:rPr>
            </w:pPr>
            <w:r>
              <w:rPr>
                <w:b/>
                <w:sz w:val="20"/>
                <w:szCs w:val="20"/>
                <w:lang w:val="sr-Cyrl-CS" w:eastAsia="en-GB"/>
              </w:rPr>
              <w:t>0.1.</w:t>
            </w:r>
          </w:p>
          <w:p w:rsidR="0017553A" w:rsidRDefault="0017553A">
            <w:pPr>
              <w:spacing w:after="0"/>
              <w:rPr>
                <w:b/>
                <w:sz w:val="20"/>
                <w:szCs w:val="20"/>
                <w:lang w:val="sr-Cyrl-CS" w:eastAsia="en-GB"/>
              </w:rPr>
            </w:pPr>
            <w:r>
              <w:rPr>
                <w:b/>
                <w:sz w:val="20"/>
                <w:szCs w:val="20"/>
                <w:lang w:val="sr-Cyrl-CS" w:eastAsia="en-GB"/>
              </w:rPr>
              <w:t>12.2.</w:t>
            </w: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r>
              <w:rPr>
                <w:b/>
                <w:sz w:val="20"/>
                <w:szCs w:val="20"/>
                <w:lang w:val="sr-Cyrl-CS" w:eastAsia="en-GB"/>
              </w:rPr>
              <w:t>0.1.</w:t>
            </w:r>
          </w:p>
          <w:p w:rsidR="0017553A" w:rsidRDefault="0017553A">
            <w:pPr>
              <w:spacing w:after="0"/>
              <w:rPr>
                <w:b/>
                <w:sz w:val="20"/>
                <w:szCs w:val="20"/>
                <w:lang w:val="sr-Cyrl-CS" w:eastAsia="en-GB"/>
              </w:rPr>
            </w:pPr>
            <w:r>
              <w:rPr>
                <w:b/>
                <w:sz w:val="20"/>
                <w:szCs w:val="20"/>
                <w:lang w:val="sr-Cyrl-CS" w:eastAsia="en-GB"/>
              </w:rPr>
              <w:t>12.3.</w:t>
            </w:r>
          </w:p>
          <w:p w:rsidR="0017553A" w:rsidRDefault="0017553A">
            <w:pPr>
              <w:spacing w:after="0"/>
              <w:rPr>
                <w:b/>
                <w:sz w:val="20"/>
                <w:szCs w:val="20"/>
                <w:lang w:val="sr-Cyrl-CS" w:eastAsia="en-GB"/>
              </w:rPr>
            </w:pPr>
          </w:p>
          <w:p w:rsidR="0017553A" w:rsidRDefault="0017553A">
            <w:pPr>
              <w:spacing w:after="0"/>
              <w:rPr>
                <w:b/>
                <w:sz w:val="20"/>
                <w:szCs w:val="20"/>
                <w:lang w:val="en-GB"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en-GB"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en-GB" w:eastAsia="en-GB"/>
              </w:rPr>
            </w:pPr>
          </w:p>
        </w:tc>
        <w:tc>
          <w:tcPr>
            <w:tcW w:w="3827" w:type="dxa"/>
            <w:tcBorders>
              <w:top w:val="single" w:sz="4" w:space="0" w:color="000000"/>
              <w:left w:val="single" w:sz="4" w:space="0" w:color="000000"/>
              <w:bottom w:val="single" w:sz="4" w:space="0" w:color="auto"/>
              <w:right w:val="single" w:sz="4" w:space="0" w:color="000000"/>
            </w:tcBorders>
            <w:hideMark/>
          </w:tcPr>
          <w:p w:rsidR="0017553A" w:rsidRDefault="0017553A">
            <w:pPr>
              <w:autoSpaceDE w:val="0"/>
              <w:autoSpaceDN w:val="0"/>
              <w:adjustRightInd w:val="0"/>
              <w:spacing w:after="60"/>
              <w:rPr>
                <w:sz w:val="20"/>
                <w:szCs w:val="20"/>
                <w:lang w:val="sr-Cyrl-CS"/>
              </w:rPr>
            </w:pPr>
            <w:r>
              <w:rPr>
                <w:sz w:val="20"/>
                <w:szCs w:val="20"/>
              </w:rPr>
              <w:t xml:space="preserve">СРПСКИ СТАНДАРДИ ДОНОСЕ СЕ НА ОСНОВУ ПЛАНА ДОНОШЕЊА </w:t>
            </w:r>
            <w:r>
              <w:rPr>
                <w:sz w:val="20"/>
                <w:szCs w:val="20"/>
                <w:lang w:val="sr-Cyrl-RS"/>
              </w:rPr>
              <w:t xml:space="preserve">СРПСКИХ </w:t>
            </w:r>
            <w:r>
              <w:rPr>
                <w:sz w:val="20"/>
                <w:szCs w:val="20"/>
              </w:rPr>
              <w:t>СТАНДАРДА КОЈИ СЕ УТВРЂУЈЕ НАЈМАЊЕ ЈЕДАНПУТ ГОДИШЊЕ</w:t>
            </w:r>
            <w:r>
              <w:rPr>
                <w:sz w:val="20"/>
                <w:szCs w:val="20"/>
                <w:lang w:val="sr-Cyrl-RS"/>
              </w:rPr>
              <w:t xml:space="preserve"> </w:t>
            </w:r>
            <w:r>
              <w:rPr>
                <w:sz w:val="20"/>
                <w:szCs w:val="20"/>
              </w:rPr>
              <w:t>И КОЈИ ЈЕ ЈАВНО ДОСТУПАН</w:t>
            </w:r>
            <w:r>
              <w:rPr>
                <w:sz w:val="20"/>
                <w:szCs w:val="20"/>
                <w:lang w:val="sr-Cyrl-CS"/>
              </w:rPr>
              <w:t xml:space="preserve"> НА ИНТЕРНЕТ СТРАНИЦИ ИНСТИТУТА</w:t>
            </w:r>
            <w:r>
              <w:rPr>
                <w:sz w:val="20"/>
                <w:szCs w:val="20"/>
              </w:rPr>
              <w:t>.</w:t>
            </w:r>
          </w:p>
          <w:p w:rsidR="0017553A" w:rsidRDefault="0017553A">
            <w:pPr>
              <w:tabs>
                <w:tab w:val="left" w:pos="9026"/>
              </w:tabs>
              <w:autoSpaceDE w:val="0"/>
              <w:autoSpaceDN w:val="0"/>
              <w:adjustRightInd w:val="0"/>
              <w:spacing w:after="0"/>
              <w:rPr>
                <w:sz w:val="20"/>
                <w:szCs w:val="20"/>
                <w:lang w:val="sr-Cyrl-CS"/>
              </w:rPr>
            </w:pPr>
            <w:r>
              <w:rPr>
                <w:sz w:val="20"/>
                <w:szCs w:val="20"/>
                <w:lang w:val="sr-Cyrl-RS"/>
              </w:rPr>
              <w:tab/>
            </w:r>
            <w:r>
              <w:rPr>
                <w:sz w:val="20"/>
                <w:szCs w:val="20"/>
                <w:lang w:val="sr-Cyrl-CS"/>
              </w:rPr>
              <w:t xml:space="preserve"> </w:t>
            </w:r>
            <w:r>
              <w:rPr>
                <w:sz w:val="20"/>
                <w:szCs w:val="20"/>
              </w:rPr>
              <w:t>ПЛАН ДОНОШЕЊА СРПСКИХ СТАНДАРДА САДРЖИ ИНФОРМАЦИЈУ</w:t>
            </w:r>
            <w:r>
              <w:rPr>
                <w:sz w:val="20"/>
                <w:szCs w:val="20"/>
                <w:lang w:val="sr-Cyrl-CS"/>
              </w:rPr>
              <w:t xml:space="preserve"> О СТАНДАРДИМА И СРОДНИМ ДОКУМЕНТИМА КОЈЕ ИНСТИТУТ </w:t>
            </w:r>
            <w:r>
              <w:rPr>
                <w:iCs/>
                <w:sz w:val="20"/>
                <w:szCs w:val="20"/>
              </w:rPr>
              <w:t>НАМЕРАВА ДА ДОНЕСЕ КАО НОВА ИЗДАЊА СРПСКИХ СТАНДАРДА ИЛИ ИЗМЕНИ ПОСТОЈЕЋА</w:t>
            </w:r>
            <w:r>
              <w:rPr>
                <w:sz w:val="20"/>
                <w:szCs w:val="20"/>
                <w:lang w:val="sr-Cyrl-CS"/>
              </w:rPr>
              <w:t>, КОЈЕ ЈЕ ДОНЕО ИЛИ ИЗМЕНИО НА ОСНОВУ ПРЕТХОДНОГ ПЛАНА ДОНОШЕЊА СРПСКИХ СТАНДАРДА И НА КОЈИМА ТРЕНУТНО РАДИ, А КОЈИ НИСУ НАСТАЛИ ИДЕНТИЧНИМ ИЛИ ЕКВИВАЛЕНТНИМ ПРЕУЗИМАЊЕМ МЕЂУНАРОДНИХ ИЛИ ЕВРОПСКИХ СТАНДАРДА</w:t>
            </w:r>
          </w:p>
        </w:tc>
        <w:tc>
          <w:tcPr>
            <w:tcW w:w="992" w:type="dxa"/>
            <w:tcBorders>
              <w:top w:val="single" w:sz="4" w:space="0" w:color="000000"/>
              <w:left w:val="single" w:sz="4" w:space="0" w:color="000000"/>
              <w:bottom w:val="single" w:sz="4" w:space="0" w:color="auto"/>
              <w:right w:val="single" w:sz="4" w:space="0" w:color="000000"/>
            </w:tcBorders>
          </w:tcPr>
          <w:p w:rsidR="0017553A" w:rsidRDefault="0017553A">
            <w:pPr>
              <w:spacing w:after="0"/>
              <w:rPr>
                <w:b/>
                <w:sz w:val="20"/>
                <w:szCs w:val="20"/>
                <w:lang w:val="sr-Cyrl-CS" w:eastAsia="en-GB"/>
              </w:rPr>
            </w:pPr>
            <w:r>
              <w:rPr>
                <w:b/>
                <w:sz w:val="20"/>
                <w:szCs w:val="20"/>
                <w:lang w:val="sr-Cyrl-CS" w:eastAsia="en-GB"/>
              </w:rPr>
              <w:t>ПУ</w:t>
            </w:r>
          </w:p>
          <w:p w:rsidR="0017553A" w:rsidRDefault="0017553A">
            <w:pPr>
              <w:rPr>
                <w:b/>
                <w:sz w:val="20"/>
                <w:szCs w:val="20"/>
                <w:highlight w:val="green"/>
                <w:lang w:val="sr-Cyrl-CS" w:eastAsia="en-GB"/>
              </w:rPr>
            </w:pPr>
          </w:p>
          <w:p w:rsidR="0017553A" w:rsidRDefault="0017553A">
            <w:pPr>
              <w:rPr>
                <w:b/>
                <w:sz w:val="20"/>
                <w:szCs w:val="20"/>
                <w:highlight w:val="green"/>
                <w:lang w:val="sr-Cyrl-CS" w:eastAsia="en-GB"/>
              </w:rPr>
            </w:pPr>
          </w:p>
          <w:p w:rsidR="0017553A" w:rsidRDefault="0017553A">
            <w:pPr>
              <w:rPr>
                <w:b/>
                <w:sz w:val="20"/>
                <w:szCs w:val="20"/>
                <w:highlight w:val="green"/>
                <w:lang w:val="sr-Cyrl-CS" w:eastAsia="en-GB"/>
              </w:rPr>
            </w:pPr>
          </w:p>
          <w:p w:rsidR="0017553A" w:rsidRDefault="0017553A">
            <w:pPr>
              <w:rPr>
                <w:b/>
                <w:sz w:val="20"/>
                <w:szCs w:val="20"/>
                <w:highlight w:val="green"/>
                <w:lang w:val="sr-Cyrl-CS" w:eastAsia="en-GB"/>
              </w:rPr>
            </w:pPr>
          </w:p>
          <w:p w:rsidR="0017553A" w:rsidRDefault="0017553A">
            <w:pPr>
              <w:spacing w:after="0"/>
              <w:rPr>
                <w:b/>
                <w:sz w:val="20"/>
                <w:szCs w:val="20"/>
                <w:highlight w:val="green"/>
                <w:lang w:val="sr-Cyrl-CS" w:eastAsia="en-GB"/>
              </w:rPr>
            </w:pPr>
          </w:p>
        </w:tc>
        <w:tc>
          <w:tcPr>
            <w:tcW w:w="2410" w:type="dxa"/>
            <w:gridSpan w:val="2"/>
            <w:tcBorders>
              <w:top w:val="single" w:sz="4" w:space="0" w:color="000000"/>
              <w:left w:val="single" w:sz="4" w:space="0" w:color="000000"/>
              <w:bottom w:val="single" w:sz="4" w:space="0" w:color="auto"/>
              <w:right w:val="single" w:sz="4" w:space="0" w:color="000000"/>
            </w:tcBorders>
          </w:tcPr>
          <w:p w:rsidR="0017553A" w:rsidRDefault="0017553A">
            <w:pPr>
              <w:autoSpaceDE w:val="0"/>
              <w:autoSpaceDN w:val="0"/>
              <w:adjustRightInd w:val="0"/>
              <w:spacing w:after="0"/>
              <w:rPr>
                <w:sz w:val="20"/>
                <w:szCs w:val="20"/>
                <w:lang w:val="en-GB" w:eastAsia="en-GB"/>
              </w:rPr>
            </w:pPr>
            <w:r>
              <w:rPr>
                <w:szCs w:val="24"/>
                <w:lang w:val="sr-Cyrl-RS"/>
              </w:rPr>
              <w:tab/>
            </w:r>
          </w:p>
          <w:p w:rsidR="0017553A" w:rsidRDefault="0017553A">
            <w:pPr>
              <w:tabs>
                <w:tab w:val="left" w:pos="851"/>
              </w:tabs>
              <w:autoSpaceDE w:val="0"/>
              <w:autoSpaceDN w:val="0"/>
              <w:adjustRightInd w:val="0"/>
              <w:spacing w:after="0"/>
              <w:rPr>
                <w:sz w:val="16"/>
                <w:szCs w:val="16"/>
                <w:lang w:val="sr-Cyrl-RS"/>
              </w:rPr>
            </w:pPr>
            <w:r>
              <w:rPr>
                <w:sz w:val="16"/>
                <w:szCs w:val="16"/>
                <w:lang w:val="sr-Cyrl-RS"/>
              </w:rPr>
              <w:tab/>
            </w:r>
          </w:p>
          <w:p w:rsidR="0017553A" w:rsidRDefault="0017553A">
            <w:pPr>
              <w:autoSpaceDE w:val="0"/>
              <w:autoSpaceDN w:val="0"/>
              <w:adjustRightInd w:val="0"/>
              <w:spacing w:after="0"/>
              <w:rPr>
                <w:sz w:val="16"/>
                <w:szCs w:val="16"/>
                <w:lang w:val="sr-Cyrl-CS"/>
              </w:rPr>
            </w:pPr>
            <w:r>
              <w:rPr>
                <w:sz w:val="16"/>
                <w:szCs w:val="16"/>
                <w:lang w:val="sr-Cyrl-RS"/>
              </w:rPr>
              <w:tab/>
            </w:r>
          </w:p>
          <w:p w:rsidR="0017553A" w:rsidRDefault="0017553A">
            <w:pPr>
              <w:tabs>
                <w:tab w:val="left" w:pos="709"/>
                <w:tab w:val="left" w:pos="851"/>
              </w:tabs>
              <w:autoSpaceDE w:val="0"/>
              <w:autoSpaceDN w:val="0"/>
              <w:adjustRightInd w:val="0"/>
              <w:spacing w:after="0"/>
              <w:rPr>
                <w:sz w:val="16"/>
                <w:szCs w:val="16"/>
                <w:lang w:val="sr-Cyrl-CS"/>
              </w:rPr>
            </w:pPr>
            <w:r>
              <w:rPr>
                <w:sz w:val="16"/>
                <w:szCs w:val="16"/>
                <w:lang w:val="sr-Cyrl-CS"/>
              </w:rPr>
              <w:t>.</w:t>
            </w:r>
          </w:p>
          <w:p w:rsidR="0017553A" w:rsidRDefault="0017553A">
            <w:pPr>
              <w:spacing w:after="0"/>
              <w:rPr>
                <w:sz w:val="20"/>
                <w:szCs w:val="20"/>
                <w:highlight w:val="green"/>
                <w:lang w:val="en-GB" w:eastAsia="en-GB"/>
              </w:rPr>
            </w:pPr>
          </w:p>
        </w:tc>
        <w:tc>
          <w:tcPr>
            <w:tcW w:w="1796" w:type="dxa"/>
            <w:tcBorders>
              <w:top w:val="single" w:sz="4" w:space="0" w:color="000000"/>
              <w:left w:val="single" w:sz="4" w:space="0" w:color="000000"/>
              <w:bottom w:val="single" w:sz="4" w:space="0" w:color="auto"/>
              <w:right w:val="single" w:sz="4" w:space="0" w:color="000000"/>
            </w:tcBorders>
          </w:tcPr>
          <w:p w:rsidR="0017553A" w:rsidRDefault="0017553A">
            <w:pPr>
              <w:spacing w:after="0"/>
              <w:rPr>
                <w:sz w:val="20"/>
                <w:szCs w:val="20"/>
                <w:lang w:val="sr-Cyrl-CS" w:eastAsia="en-GB"/>
              </w:rPr>
            </w:pPr>
          </w:p>
        </w:tc>
      </w:tr>
      <w:tr w:rsidR="0017553A" w:rsidTr="0017553A">
        <w:trPr>
          <w:trHeight w:val="1550"/>
        </w:trPr>
        <w:tc>
          <w:tcPr>
            <w:tcW w:w="300" w:type="dxa"/>
            <w:vMerge/>
            <w:tcBorders>
              <w:top w:val="single" w:sz="4" w:space="0" w:color="auto"/>
              <w:left w:val="single" w:sz="4" w:space="0" w:color="auto"/>
              <w:bottom w:val="single" w:sz="4" w:space="0" w:color="000000"/>
              <w:right w:val="single" w:sz="4" w:space="0" w:color="000000"/>
            </w:tcBorders>
            <w:vAlign w:val="center"/>
            <w:hideMark/>
          </w:tcPr>
          <w:p w:rsidR="0017553A" w:rsidRDefault="0017553A">
            <w:pPr>
              <w:spacing w:after="0"/>
              <w:rPr>
                <w:rFonts w:ascii="Times New Roman" w:hAnsi="Times New Roman"/>
                <w:sz w:val="20"/>
                <w:szCs w:val="20"/>
                <w:lang w:val="en-GB" w:eastAsia="en-GB"/>
              </w:rPr>
            </w:pPr>
          </w:p>
        </w:tc>
        <w:tc>
          <w:tcPr>
            <w:tcW w:w="1371" w:type="dxa"/>
            <w:tcBorders>
              <w:top w:val="single" w:sz="4" w:space="0" w:color="auto"/>
              <w:left w:val="single" w:sz="4" w:space="0" w:color="000000"/>
              <w:bottom w:val="single" w:sz="4" w:space="0" w:color="auto"/>
              <w:right w:val="single" w:sz="4" w:space="0" w:color="000000"/>
            </w:tcBorders>
          </w:tcPr>
          <w:p w:rsidR="0017553A" w:rsidRDefault="0017553A">
            <w:pPr>
              <w:rPr>
                <w:b/>
                <w:sz w:val="20"/>
                <w:szCs w:val="20"/>
                <w:lang w:val="sr-Cyrl-CS" w:eastAsia="en-GB"/>
              </w:rPr>
            </w:pPr>
            <w:r>
              <w:rPr>
                <w:b/>
                <w:sz w:val="20"/>
                <w:szCs w:val="20"/>
                <w:lang w:eastAsia="en-GB"/>
              </w:rPr>
              <w:t>3.</w:t>
            </w:r>
            <w:r>
              <w:rPr>
                <w:b/>
                <w:sz w:val="20"/>
                <w:szCs w:val="20"/>
                <w:lang w:val="sr-Cyrl-CS" w:eastAsia="en-GB"/>
              </w:rPr>
              <w:t>2</w:t>
            </w:r>
            <w:r>
              <w:rPr>
                <w:b/>
                <w:sz w:val="20"/>
                <w:szCs w:val="20"/>
                <w:lang w:eastAsia="en-GB"/>
              </w:rPr>
              <w:t>.</w:t>
            </w:r>
          </w:p>
          <w:p w:rsidR="0017553A" w:rsidRDefault="0017553A">
            <w:pPr>
              <w:rPr>
                <w:b/>
                <w:sz w:val="20"/>
                <w:szCs w:val="20"/>
                <w:highlight w:val="green"/>
                <w:lang w:val="sr-Cyrl-CS" w:eastAsia="en-GB"/>
              </w:rPr>
            </w:pPr>
          </w:p>
          <w:p w:rsidR="0017553A" w:rsidRDefault="0017553A">
            <w:pPr>
              <w:rPr>
                <w:b/>
                <w:sz w:val="20"/>
                <w:szCs w:val="20"/>
                <w:lang w:val="sr-Cyrl-CS" w:eastAsia="en-GB"/>
              </w:rPr>
            </w:pPr>
          </w:p>
          <w:p w:rsidR="0017553A" w:rsidRDefault="0017553A">
            <w:pPr>
              <w:rPr>
                <w:b/>
                <w:sz w:val="20"/>
                <w:szCs w:val="20"/>
                <w:lang w:val="sr-Cyrl-CS" w:eastAsia="en-GB"/>
              </w:rPr>
            </w:pPr>
          </w:p>
          <w:p w:rsidR="0017553A" w:rsidRDefault="0017553A">
            <w:pPr>
              <w:rPr>
                <w:b/>
                <w:sz w:val="20"/>
                <w:szCs w:val="20"/>
                <w:lang w:val="en-GB" w:eastAsia="en-GB"/>
              </w:rPr>
            </w:pPr>
          </w:p>
        </w:tc>
        <w:tc>
          <w:tcPr>
            <w:tcW w:w="4583" w:type="dxa"/>
            <w:gridSpan w:val="2"/>
            <w:tcBorders>
              <w:top w:val="single" w:sz="4" w:space="0" w:color="auto"/>
              <w:left w:val="single" w:sz="4" w:space="0" w:color="000000"/>
              <w:bottom w:val="single" w:sz="4" w:space="0" w:color="auto"/>
              <w:right w:val="single" w:sz="4" w:space="0" w:color="000000"/>
            </w:tcBorders>
          </w:tcPr>
          <w:p w:rsidR="0017553A" w:rsidRDefault="0017553A">
            <w:pPr>
              <w:pStyle w:val="CM4"/>
              <w:rPr>
                <w:rFonts w:ascii="Times New Roman" w:hAnsi="Times New Roman"/>
                <w:sz w:val="20"/>
                <w:szCs w:val="20"/>
              </w:rPr>
            </w:pPr>
            <w:r>
              <w:rPr>
                <w:rFonts w:ascii="Times New Roman" w:hAnsi="Times New Roman"/>
                <w:sz w:val="20"/>
                <w:szCs w:val="20"/>
              </w:rPr>
              <w:lastRenderedPageBreak/>
              <w:t xml:space="preserve">The work shall indicate, in respect of each standard and European standardisation deliverable: </w:t>
            </w:r>
          </w:p>
          <w:p w:rsidR="0017553A" w:rsidRDefault="0017553A">
            <w:pPr>
              <w:pStyle w:val="CM4"/>
              <w:jc w:val="both"/>
              <w:rPr>
                <w:rFonts w:ascii="Times New Roman" w:hAnsi="Times New Roman"/>
                <w:sz w:val="20"/>
                <w:szCs w:val="20"/>
              </w:rPr>
            </w:pPr>
            <w:r>
              <w:rPr>
                <w:rFonts w:ascii="Times New Roman" w:hAnsi="Times New Roman"/>
                <w:sz w:val="20"/>
                <w:szCs w:val="20"/>
              </w:rPr>
              <w:t xml:space="preserve">(a) the subject matter; </w:t>
            </w:r>
          </w:p>
          <w:p w:rsidR="0017553A" w:rsidRDefault="0017553A">
            <w:pPr>
              <w:pStyle w:val="CM4"/>
              <w:rPr>
                <w:rFonts w:ascii="Times New Roman" w:hAnsi="Times New Roman"/>
                <w:sz w:val="20"/>
                <w:szCs w:val="20"/>
              </w:rPr>
            </w:pPr>
            <w:r>
              <w:rPr>
                <w:rFonts w:ascii="Times New Roman" w:hAnsi="Times New Roman"/>
                <w:sz w:val="20"/>
                <w:szCs w:val="20"/>
              </w:rPr>
              <w:t xml:space="preserve">(b) the stage attained in the development of the standards and European standardisation deliverables; </w:t>
            </w:r>
          </w:p>
          <w:p w:rsidR="0017553A" w:rsidRDefault="0017553A">
            <w:pPr>
              <w:pStyle w:val="CM4"/>
              <w:rPr>
                <w:rFonts w:ascii="Times New Roman" w:hAnsi="Times New Roman"/>
                <w:sz w:val="20"/>
                <w:szCs w:val="20"/>
              </w:rPr>
            </w:pPr>
            <w:r>
              <w:rPr>
                <w:rFonts w:ascii="Times New Roman" w:hAnsi="Times New Roman"/>
                <w:sz w:val="20"/>
                <w:szCs w:val="20"/>
              </w:rPr>
              <w:lastRenderedPageBreak/>
              <w:t xml:space="preserve">(c) the references of any international standards taken as a basis. </w:t>
            </w:r>
          </w:p>
          <w:p w:rsidR="0017553A" w:rsidRDefault="0017553A">
            <w:pPr>
              <w:spacing w:after="0"/>
              <w:rPr>
                <w:rFonts w:ascii="Times New Roman" w:hAnsi="Times New Roman"/>
                <w:sz w:val="20"/>
                <w:szCs w:val="20"/>
                <w:lang w:val="sr-Cyrl-CS"/>
              </w:rPr>
            </w:pPr>
          </w:p>
        </w:tc>
        <w:tc>
          <w:tcPr>
            <w:tcW w:w="993" w:type="dxa"/>
            <w:tcBorders>
              <w:top w:val="single" w:sz="4" w:space="0" w:color="auto"/>
              <w:left w:val="single" w:sz="4" w:space="0" w:color="000000"/>
              <w:bottom w:val="single" w:sz="4" w:space="0" w:color="auto"/>
              <w:right w:val="single" w:sz="4" w:space="0" w:color="000000"/>
            </w:tcBorders>
          </w:tcPr>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rPr>
                <w:b/>
                <w:sz w:val="20"/>
                <w:szCs w:val="20"/>
                <w:lang w:val="en-GB" w:eastAsia="en-GB"/>
              </w:rPr>
            </w:pPr>
          </w:p>
        </w:tc>
        <w:tc>
          <w:tcPr>
            <w:tcW w:w="3827" w:type="dxa"/>
            <w:tcBorders>
              <w:top w:val="single" w:sz="4" w:space="0" w:color="auto"/>
              <w:left w:val="single" w:sz="4" w:space="0" w:color="000000"/>
              <w:bottom w:val="single" w:sz="4" w:space="0" w:color="auto"/>
              <w:right w:val="single" w:sz="4" w:space="0" w:color="000000"/>
            </w:tcBorders>
          </w:tcPr>
          <w:p w:rsidR="0017553A" w:rsidRDefault="0017553A">
            <w:pPr>
              <w:autoSpaceDE w:val="0"/>
              <w:autoSpaceDN w:val="0"/>
              <w:adjustRightInd w:val="0"/>
              <w:spacing w:after="0"/>
              <w:rPr>
                <w:rFonts w:eastAsia="Times New Roman"/>
                <w:sz w:val="20"/>
                <w:szCs w:val="20"/>
                <w:highlight w:val="cyan"/>
                <w:lang w:val="sr-Cyrl-CS"/>
              </w:rPr>
            </w:pPr>
          </w:p>
          <w:p w:rsidR="0017553A" w:rsidRDefault="0017553A">
            <w:pPr>
              <w:autoSpaceDE w:val="0"/>
              <w:autoSpaceDN w:val="0"/>
              <w:adjustRightInd w:val="0"/>
              <w:spacing w:after="0"/>
              <w:rPr>
                <w:sz w:val="20"/>
                <w:szCs w:val="20"/>
                <w:lang w:val="sr-Cyrl-CS"/>
              </w:rPr>
            </w:pPr>
          </w:p>
        </w:tc>
        <w:tc>
          <w:tcPr>
            <w:tcW w:w="992" w:type="dxa"/>
            <w:tcBorders>
              <w:top w:val="single" w:sz="4" w:space="0" w:color="auto"/>
              <w:left w:val="single" w:sz="4" w:space="0" w:color="000000"/>
              <w:bottom w:val="single" w:sz="4" w:space="0" w:color="auto"/>
              <w:right w:val="single" w:sz="4" w:space="0" w:color="000000"/>
            </w:tcBorders>
          </w:tcPr>
          <w:p w:rsidR="0017553A" w:rsidRDefault="0017553A">
            <w:pPr>
              <w:rPr>
                <w:b/>
                <w:sz w:val="20"/>
                <w:szCs w:val="20"/>
                <w:lang w:val="sr-Cyrl-CS" w:eastAsia="en-GB"/>
              </w:rPr>
            </w:pPr>
            <w:r>
              <w:rPr>
                <w:b/>
                <w:sz w:val="20"/>
                <w:szCs w:val="20"/>
                <w:lang w:val="sr-Cyrl-CS" w:eastAsia="en-GB"/>
              </w:rPr>
              <w:t>НУ</w:t>
            </w:r>
          </w:p>
          <w:p w:rsidR="0017553A" w:rsidRDefault="0017553A">
            <w:pPr>
              <w:rPr>
                <w:b/>
                <w:sz w:val="20"/>
                <w:szCs w:val="20"/>
                <w:highlight w:val="green"/>
                <w:lang w:val="sr-Cyrl-CS" w:eastAsia="en-GB"/>
              </w:rPr>
            </w:pPr>
          </w:p>
          <w:p w:rsidR="0017553A" w:rsidRDefault="0017553A">
            <w:pPr>
              <w:rPr>
                <w:b/>
                <w:sz w:val="20"/>
                <w:szCs w:val="20"/>
                <w:highlight w:val="green"/>
                <w:lang w:val="sr-Cyrl-CS" w:eastAsia="en-GB"/>
              </w:rPr>
            </w:pPr>
          </w:p>
          <w:p w:rsidR="0017553A" w:rsidRDefault="0017553A">
            <w:pPr>
              <w:rPr>
                <w:b/>
                <w:sz w:val="20"/>
                <w:szCs w:val="20"/>
                <w:highlight w:val="green"/>
                <w:lang w:val="sr-Cyrl-CS" w:eastAsia="en-GB"/>
              </w:rPr>
            </w:pPr>
          </w:p>
          <w:p w:rsidR="0017553A" w:rsidRDefault="0017553A">
            <w:pPr>
              <w:rPr>
                <w:b/>
                <w:sz w:val="20"/>
                <w:szCs w:val="20"/>
                <w:lang w:val="sr-Cyrl-CS" w:eastAsia="en-GB"/>
              </w:rPr>
            </w:pPr>
          </w:p>
        </w:tc>
        <w:tc>
          <w:tcPr>
            <w:tcW w:w="2410" w:type="dxa"/>
            <w:gridSpan w:val="2"/>
            <w:tcBorders>
              <w:top w:val="single" w:sz="4" w:space="0" w:color="auto"/>
              <w:left w:val="single" w:sz="4" w:space="0" w:color="000000"/>
              <w:bottom w:val="single" w:sz="4" w:space="0" w:color="auto"/>
              <w:right w:val="single" w:sz="4" w:space="0" w:color="000000"/>
            </w:tcBorders>
            <w:hideMark/>
          </w:tcPr>
          <w:p w:rsidR="0017553A" w:rsidRDefault="0017553A">
            <w:pPr>
              <w:spacing w:after="0"/>
              <w:rPr>
                <w:sz w:val="20"/>
                <w:szCs w:val="20"/>
                <w:lang w:val="sr-Cyrl-CS" w:eastAsia="en-GB"/>
              </w:rPr>
            </w:pPr>
            <w:r>
              <w:rPr>
                <w:sz w:val="20"/>
                <w:szCs w:val="20"/>
                <w:lang w:val="sr-Cyrl-CS" w:eastAsia="en-GB"/>
              </w:rPr>
              <w:lastRenderedPageBreak/>
              <w:t>Образложење оцене:</w:t>
            </w:r>
          </w:p>
          <w:p w:rsidR="0017553A" w:rsidRDefault="0017553A">
            <w:pPr>
              <w:spacing w:after="0"/>
              <w:rPr>
                <w:sz w:val="20"/>
                <w:szCs w:val="20"/>
                <w:lang w:val="sr-Cyrl-CS" w:eastAsia="en-GB"/>
              </w:rPr>
            </w:pPr>
            <w:r>
              <w:rPr>
                <w:sz w:val="20"/>
                <w:szCs w:val="20"/>
                <w:lang w:val="sr-Cyrl-CS" w:eastAsia="en-GB"/>
              </w:rPr>
              <w:t>У национално законодавство није  пренета одредба 3.2. Уредбе, а</w:t>
            </w:r>
            <w:r>
              <w:rPr>
                <w:sz w:val="20"/>
                <w:szCs w:val="20"/>
                <w:lang w:val="sr-Latn-CS" w:eastAsia="en-GB"/>
              </w:rPr>
              <w:t xml:space="preserve"> </w:t>
            </w:r>
            <w:r>
              <w:rPr>
                <w:sz w:val="20"/>
                <w:szCs w:val="20"/>
                <w:lang w:val="sr-Cyrl-CS" w:eastAsia="en-GB"/>
              </w:rPr>
              <w:t xml:space="preserve"> обавезе које </w:t>
            </w:r>
            <w:r>
              <w:rPr>
                <w:sz w:val="20"/>
                <w:szCs w:val="20"/>
                <w:lang w:val="sr-Cyrl-CS" w:eastAsia="en-GB"/>
              </w:rPr>
              <w:lastRenderedPageBreak/>
              <w:t>произлазе из ове одредбе биће преузете  изменама оснивачког акта</w:t>
            </w:r>
            <w:r>
              <w:rPr>
                <w:sz w:val="20"/>
                <w:szCs w:val="20"/>
                <w:lang w:eastAsia="en-GB"/>
              </w:rPr>
              <w:t>.</w:t>
            </w:r>
          </w:p>
        </w:tc>
        <w:tc>
          <w:tcPr>
            <w:tcW w:w="1796" w:type="dxa"/>
            <w:tcBorders>
              <w:top w:val="single" w:sz="4" w:space="0" w:color="auto"/>
              <w:left w:val="single" w:sz="4" w:space="0" w:color="000000"/>
              <w:bottom w:val="single" w:sz="4" w:space="0" w:color="auto"/>
              <w:right w:val="single" w:sz="4" w:space="0" w:color="000000"/>
            </w:tcBorders>
          </w:tcPr>
          <w:p w:rsidR="0017553A" w:rsidRDefault="0017553A">
            <w:pPr>
              <w:spacing w:after="0"/>
              <w:rPr>
                <w:sz w:val="20"/>
                <w:szCs w:val="20"/>
                <w:lang w:val="sr-Cyrl-CS" w:eastAsia="en-GB"/>
              </w:rPr>
            </w:pPr>
          </w:p>
        </w:tc>
      </w:tr>
      <w:tr w:rsidR="0017553A" w:rsidTr="0017553A">
        <w:trPr>
          <w:trHeight w:val="1427"/>
        </w:trPr>
        <w:tc>
          <w:tcPr>
            <w:tcW w:w="259" w:type="dxa"/>
            <w:tcBorders>
              <w:top w:val="single" w:sz="4" w:space="0" w:color="auto"/>
              <w:left w:val="single" w:sz="4" w:space="0" w:color="auto"/>
              <w:bottom w:val="single" w:sz="4" w:space="0" w:color="auto"/>
              <w:right w:val="single" w:sz="4" w:space="0" w:color="000000"/>
            </w:tcBorders>
          </w:tcPr>
          <w:p w:rsidR="0017553A" w:rsidRDefault="0017553A">
            <w:pPr>
              <w:spacing w:after="0"/>
              <w:rPr>
                <w:sz w:val="20"/>
                <w:szCs w:val="20"/>
                <w:lang w:val="en-GB" w:eastAsia="en-GB"/>
              </w:rPr>
            </w:pPr>
          </w:p>
        </w:tc>
        <w:tc>
          <w:tcPr>
            <w:tcW w:w="1371" w:type="dxa"/>
            <w:tcBorders>
              <w:top w:val="single" w:sz="4" w:space="0" w:color="000000"/>
              <w:left w:val="single" w:sz="4" w:space="0" w:color="000000"/>
              <w:bottom w:val="single" w:sz="4" w:space="0" w:color="auto"/>
              <w:right w:val="single" w:sz="4" w:space="0" w:color="000000"/>
            </w:tcBorders>
          </w:tcPr>
          <w:p w:rsidR="0017553A" w:rsidRDefault="0017553A">
            <w:pPr>
              <w:rPr>
                <w:b/>
                <w:sz w:val="20"/>
                <w:szCs w:val="20"/>
                <w:lang w:val="sr-Cyrl-CS" w:eastAsia="en-GB"/>
              </w:rPr>
            </w:pPr>
            <w:r>
              <w:rPr>
                <w:b/>
                <w:sz w:val="20"/>
                <w:szCs w:val="20"/>
                <w:lang w:val="sr-Cyrl-CS" w:eastAsia="en-GB"/>
              </w:rPr>
              <w:t>3.3.</w:t>
            </w:r>
          </w:p>
          <w:p w:rsidR="0017553A" w:rsidRDefault="0017553A">
            <w:pPr>
              <w:spacing w:after="0"/>
              <w:rPr>
                <w:b/>
                <w:sz w:val="20"/>
                <w:szCs w:val="20"/>
                <w:lang w:val="en-GB" w:eastAsia="en-GB"/>
              </w:rPr>
            </w:pPr>
          </w:p>
        </w:tc>
        <w:tc>
          <w:tcPr>
            <w:tcW w:w="4583" w:type="dxa"/>
            <w:gridSpan w:val="2"/>
            <w:tcBorders>
              <w:top w:val="single" w:sz="4" w:space="0" w:color="000000"/>
              <w:left w:val="single" w:sz="4" w:space="0" w:color="000000"/>
              <w:bottom w:val="single" w:sz="4" w:space="0" w:color="auto"/>
              <w:right w:val="single" w:sz="4" w:space="0" w:color="000000"/>
            </w:tcBorders>
            <w:hideMark/>
          </w:tcPr>
          <w:p w:rsidR="0017553A" w:rsidRDefault="0017553A">
            <w:pPr>
              <w:spacing w:after="0"/>
              <w:rPr>
                <w:sz w:val="20"/>
                <w:szCs w:val="20"/>
              </w:rPr>
            </w:pPr>
            <w:r>
              <w:rPr>
                <w:sz w:val="20"/>
                <w:szCs w:val="20"/>
                <w:lang w:eastAsia="en-GB"/>
              </w:rPr>
              <w:t>Each European standardisation organisation and national  standardisation body shall make its work programme available on its website or any other publicly available website, as well as make a notice of the existence of the work programme available in a national or, where appropriate, European publication of standardisation activities.</w:t>
            </w:r>
          </w:p>
        </w:tc>
        <w:tc>
          <w:tcPr>
            <w:tcW w:w="993" w:type="dxa"/>
            <w:tcBorders>
              <w:top w:val="single" w:sz="4" w:space="0" w:color="000000"/>
              <w:left w:val="single" w:sz="4" w:space="0" w:color="000000"/>
              <w:bottom w:val="single" w:sz="4" w:space="0" w:color="auto"/>
              <w:right w:val="single" w:sz="4" w:space="0" w:color="000000"/>
            </w:tcBorders>
          </w:tcPr>
          <w:p w:rsidR="0017553A" w:rsidRDefault="0017553A">
            <w:pPr>
              <w:spacing w:after="0"/>
              <w:rPr>
                <w:b/>
                <w:sz w:val="20"/>
                <w:szCs w:val="20"/>
                <w:lang w:val="sr-Cyrl-CS" w:eastAsia="en-GB"/>
              </w:rPr>
            </w:pPr>
            <w:r>
              <w:rPr>
                <w:b/>
                <w:sz w:val="20"/>
                <w:szCs w:val="20"/>
                <w:lang w:val="sr-Cyrl-CS" w:eastAsia="en-GB"/>
              </w:rPr>
              <w:t>01.</w:t>
            </w:r>
          </w:p>
          <w:p w:rsidR="0017553A" w:rsidRDefault="0017553A">
            <w:pPr>
              <w:spacing w:after="0"/>
              <w:rPr>
                <w:b/>
                <w:sz w:val="20"/>
                <w:szCs w:val="20"/>
                <w:lang w:val="sr-Cyrl-CS" w:eastAsia="en-GB"/>
              </w:rPr>
            </w:pPr>
            <w:r>
              <w:rPr>
                <w:b/>
                <w:sz w:val="20"/>
                <w:szCs w:val="20"/>
                <w:lang w:val="sr-Cyrl-CS" w:eastAsia="en-GB"/>
              </w:rPr>
              <w:t>12.2.</w:t>
            </w:r>
          </w:p>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auto"/>
              <w:right w:val="single" w:sz="4" w:space="0" w:color="000000"/>
            </w:tcBorders>
            <w:hideMark/>
          </w:tcPr>
          <w:p w:rsidR="0017553A" w:rsidRDefault="0017553A">
            <w:pPr>
              <w:autoSpaceDE w:val="0"/>
              <w:autoSpaceDN w:val="0"/>
              <w:adjustRightInd w:val="0"/>
              <w:spacing w:after="60"/>
              <w:rPr>
                <w:sz w:val="20"/>
                <w:szCs w:val="20"/>
                <w:lang w:val="sr-Cyrl-CS"/>
              </w:rPr>
            </w:pPr>
            <w:r>
              <w:rPr>
                <w:sz w:val="20"/>
                <w:szCs w:val="20"/>
              </w:rPr>
              <w:t xml:space="preserve">СРПСКИ СТАНДАРДИ ДОНОСЕ СЕ НА ОСНОВУ ПЛАНА ДОНОШЕЊА </w:t>
            </w:r>
            <w:r>
              <w:rPr>
                <w:sz w:val="20"/>
                <w:szCs w:val="20"/>
                <w:lang w:val="sr-Cyrl-RS"/>
              </w:rPr>
              <w:t xml:space="preserve">СРПСКИХ </w:t>
            </w:r>
            <w:r>
              <w:rPr>
                <w:sz w:val="20"/>
                <w:szCs w:val="20"/>
              </w:rPr>
              <w:t>СТАНДАРДА КОЈИ СЕ УТВРЂУЈЕ НАЈМАЊЕ ЈЕДАНПУТ ГОДИШЊЕ</w:t>
            </w:r>
            <w:r>
              <w:rPr>
                <w:sz w:val="20"/>
                <w:szCs w:val="20"/>
                <w:lang w:val="sr-Cyrl-RS"/>
              </w:rPr>
              <w:t xml:space="preserve"> </w:t>
            </w:r>
            <w:r>
              <w:rPr>
                <w:sz w:val="20"/>
                <w:szCs w:val="20"/>
              </w:rPr>
              <w:t>И КОЈИ ЈЕ ЈАВНО ДОСТУПАН</w:t>
            </w:r>
            <w:r>
              <w:rPr>
                <w:sz w:val="20"/>
                <w:szCs w:val="20"/>
                <w:lang w:val="sr-Cyrl-CS"/>
              </w:rPr>
              <w:t xml:space="preserve"> НА ИНТЕРНЕТ СТРАНИЦИ ИНСТИТУТА</w:t>
            </w:r>
            <w:r>
              <w:rPr>
                <w:sz w:val="20"/>
                <w:szCs w:val="20"/>
              </w:rPr>
              <w:t>.</w:t>
            </w:r>
          </w:p>
        </w:tc>
        <w:tc>
          <w:tcPr>
            <w:tcW w:w="992" w:type="dxa"/>
            <w:tcBorders>
              <w:top w:val="single" w:sz="4" w:space="0" w:color="000000"/>
              <w:left w:val="single" w:sz="4" w:space="0" w:color="000000"/>
              <w:bottom w:val="single" w:sz="4" w:space="0" w:color="auto"/>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ПУ</w:t>
            </w:r>
          </w:p>
        </w:tc>
        <w:tc>
          <w:tcPr>
            <w:tcW w:w="2410" w:type="dxa"/>
            <w:gridSpan w:val="2"/>
            <w:tcBorders>
              <w:top w:val="single" w:sz="4" w:space="0" w:color="000000"/>
              <w:left w:val="single" w:sz="4" w:space="0" w:color="000000"/>
              <w:bottom w:val="single" w:sz="4" w:space="0" w:color="auto"/>
              <w:right w:val="single" w:sz="4" w:space="0" w:color="000000"/>
            </w:tcBorders>
          </w:tcPr>
          <w:p w:rsidR="0017553A" w:rsidRDefault="0017553A">
            <w:pPr>
              <w:spacing w:after="0"/>
              <w:rPr>
                <w:sz w:val="20"/>
                <w:szCs w:val="20"/>
                <w:highlight w:val="green"/>
                <w:lang w:val="sr-Cyrl-CS" w:eastAsia="en-GB"/>
              </w:rPr>
            </w:pPr>
          </w:p>
        </w:tc>
        <w:tc>
          <w:tcPr>
            <w:tcW w:w="1796" w:type="dxa"/>
            <w:tcBorders>
              <w:top w:val="single" w:sz="4" w:space="0" w:color="000000"/>
              <w:left w:val="single" w:sz="4" w:space="0" w:color="000000"/>
              <w:bottom w:val="single" w:sz="4" w:space="0" w:color="auto"/>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Обавезе које произилазе из одредбе 3.3. Уредбе биће у потпуности преузете у национално законодавство изменама оснивачког акта</w:t>
            </w:r>
            <w:r>
              <w:rPr>
                <w:sz w:val="20"/>
                <w:szCs w:val="20"/>
                <w:lang w:eastAsia="en-GB"/>
              </w:rPr>
              <w:t>.</w:t>
            </w:r>
          </w:p>
        </w:tc>
      </w:tr>
      <w:tr w:rsidR="0017553A" w:rsidTr="0017553A">
        <w:trPr>
          <w:trHeight w:val="277"/>
        </w:trPr>
        <w:tc>
          <w:tcPr>
            <w:tcW w:w="259" w:type="dxa"/>
            <w:tcBorders>
              <w:top w:val="single" w:sz="4" w:space="0" w:color="auto"/>
              <w:left w:val="single" w:sz="4" w:space="0" w:color="auto"/>
              <w:bottom w:val="single" w:sz="4" w:space="0" w:color="auto"/>
              <w:right w:val="single" w:sz="4" w:space="0" w:color="000000"/>
            </w:tcBorders>
          </w:tcPr>
          <w:p w:rsidR="0017553A" w:rsidRDefault="0017553A">
            <w:pPr>
              <w:spacing w:after="0"/>
              <w:rPr>
                <w:sz w:val="20"/>
                <w:szCs w:val="20"/>
                <w:highlight w:val="green"/>
                <w:lang w:val="en-GB" w:eastAsia="en-GB"/>
              </w:rPr>
            </w:pPr>
          </w:p>
        </w:tc>
        <w:tc>
          <w:tcPr>
            <w:tcW w:w="1371" w:type="dxa"/>
            <w:tcBorders>
              <w:top w:val="single" w:sz="4" w:space="0" w:color="000000"/>
              <w:left w:val="single" w:sz="4" w:space="0" w:color="000000"/>
              <w:bottom w:val="single" w:sz="4" w:space="0" w:color="auto"/>
              <w:right w:val="single" w:sz="4" w:space="0" w:color="000000"/>
            </w:tcBorders>
            <w:hideMark/>
          </w:tcPr>
          <w:p w:rsidR="0017553A" w:rsidRDefault="0017553A">
            <w:pPr>
              <w:rPr>
                <w:b/>
                <w:sz w:val="20"/>
                <w:szCs w:val="20"/>
                <w:highlight w:val="green"/>
                <w:lang w:val="sr-Cyrl-CS" w:eastAsia="en-GB"/>
              </w:rPr>
            </w:pPr>
            <w:r>
              <w:rPr>
                <w:b/>
                <w:sz w:val="20"/>
                <w:szCs w:val="20"/>
                <w:lang w:val="sr-Cyrl-CS" w:eastAsia="en-GB"/>
              </w:rPr>
              <w:t>3.4.</w:t>
            </w:r>
          </w:p>
        </w:tc>
        <w:tc>
          <w:tcPr>
            <w:tcW w:w="4583" w:type="dxa"/>
            <w:gridSpan w:val="2"/>
            <w:tcBorders>
              <w:top w:val="single" w:sz="4" w:space="0" w:color="000000"/>
              <w:left w:val="single" w:sz="4" w:space="0" w:color="000000"/>
              <w:bottom w:val="single" w:sz="4" w:space="0" w:color="auto"/>
              <w:right w:val="single" w:sz="4" w:space="0" w:color="000000"/>
            </w:tcBorders>
            <w:hideMark/>
          </w:tcPr>
          <w:p w:rsidR="0017553A" w:rsidRDefault="0017553A">
            <w:pPr>
              <w:spacing w:after="0"/>
              <w:rPr>
                <w:sz w:val="20"/>
                <w:szCs w:val="20"/>
                <w:lang w:val="en-GB"/>
              </w:rPr>
            </w:pPr>
            <w:r>
              <w:rPr>
                <w:sz w:val="20"/>
                <w:szCs w:val="20"/>
                <w:lang w:eastAsia="en-GB"/>
              </w:rPr>
              <w:t>No later than at the time of publication of its work programme, each European standardisation organisation and national standardisation body shall notify the existence thereof to the other European standardisation organisations and national standardisation bodies and to the Commission. The Commission shall make that information available to the Member States via the committee referred to in Article 22.</w:t>
            </w:r>
          </w:p>
        </w:tc>
        <w:tc>
          <w:tcPr>
            <w:tcW w:w="993" w:type="dxa"/>
            <w:tcBorders>
              <w:top w:val="single" w:sz="4" w:space="0" w:color="000000"/>
              <w:left w:val="single" w:sz="4" w:space="0" w:color="000000"/>
              <w:bottom w:val="single" w:sz="4" w:space="0" w:color="auto"/>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auto"/>
              <w:right w:val="single" w:sz="4" w:space="0" w:color="000000"/>
            </w:tcBorders>
          </w:tcPr>
          <w:p w:rsidR="0017553A" w:rsidRDefault="0017553A">
            <w:pPr>
              <w:tabs>
                <w:tab w:val="left" w:pos="709"/>
              </w:tabs>
              <w:autoSpaceDE w:val="0"/>
              <w:autoSpaceDN w:val="0"/>
              <w:adjustRightInd w:val="0"/>
              <w:rPr>
                <w:sz w:val="20"/>
                <w:szCs w:val="20"/>
                <w:lang w:val="en-GB"/>
              </w:rPr>
            </w:pPr>
          </w:p>
        </w:tc>
        <w:tc>
          <w:tcPr>
            <w:tcW w:w="992" w:type="dxa"/>
            <w:tcBorders>
              <w:top w:val="single" w:sz="4" w:space="0" w:color="000000"/>
              <w:left w:val="single" w:sz="4" w:space="0" w:color="000000"/>
              <w:bottom w:val="single" w:sz="4" w:space="0" w:color="auto"/>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auto"/>
              <w:right w:val="single" w:sz="4" w:space="0" w:color="000000"/>
            </w:tcBorders>
            <w:hideMark/>
          </w:tcPr>
          <w:p w:rsidR="0017553A" w:rsidRDefault="0017553A">
            <w:pPr>
              <w:spacing w:after="0"/>
              <w:rPr>
                <w:sz w:val="20"/>
                <w:szCs w:val="20"/>
                <w:lang w:val="sr-Cyrl-CS" w:eastAsia="en-GB"/>
              </w:rPr>
            </w:pPr>
            <w:r>
              <w:rPr>
                <w:sz w:val="20"/>
                <w:szCs w:val="20"/>
                <w:lang w:val="sr-Cyrl-CS" w:eastAsia="en-GB"/>
              </w:rPr>
              <w:t xml:space="preserve">Образложење оцене: </w:t>
            </w:r>
          </w:p>
          <w:p w:rsidR="0017553A" w:rsidRDefault="0017553A">
            <w:pPr>
              <w:spacing w:after="0"/>
              <w:rPr>
                <w:sz w:val="20"/>
                <w:szCs w:val="20"/>
                <w:lang w:val="sr-Cyrl-CS" w:eastAsia="en-GB"/>
              </w:rPr>
            </w:pPr>
            <w:r>
              <w:rPr>
                <w:sz w:val="20"/>
                <w:szCs w:val="20"/>
                <w:lang w:val="sr-Cyrl-CS" w:eastAsia="en-GB"/>
              </w:rPr>
              <w:t>У национално законодавство није  пренета одредба 3.4. Уредбе, јер прописује</w:t>
            </w:r>
            <w:r>
              <w:rPr>
                <w:sz w:val="20"/>
                <w:szCs w:val="20"/>
                <w:lang w:val="sr-Latn-CS" w:eastAsia="en-GB"/>
              </w:rPr>
              <w:t xml:space="preserve"> </w:t>
            </w:r>
            <w:r>
              <w:rPr>
                <w:sz w:val="20"/>
                <w:szCs w:val="20"/>
                <w:lang w:val="sr-Cyrl-CS" w:eastAsia="en-GB"/>
              </w:rPr>
              <w:t xml:space="preserve"> обавезе према Европској комисији. </w:t>
            </w:r>
          </w:p>
        </w:tc>
        <w:tc>
          <w:tcPr>
            <w:tcW w:w="1796" w:type="dxa"/>
            <w:tcBorders>
              <w:top w:val="single" w:sz="4" w:space="0" w:color="000000"/>
              <w:left w:val="single" w:sz="4" w:space="0" w:color="000000"/>
              <w:bottom w:val="single" w:sz="4" w:space="0" w:color="auto"/>
              <w:right w:val="single" w:sz="4" w:space="0" w:color="000000"/>
            </w:tcBorders>
          </w:tcPr>
          <w:p w:rsidR="0017553A" w:rsidRDefault="0017553A">
            <w:pPr>
              <w:spacing w:after="0"/>
              <w:rPr>
                <w:sz w:val="20"/>
                <w:szCs w:val="20"/>
                <w:lang w:val="sr-Cyrl-CS" w:eastAsia="en-GB"/>
              </w:rPr>
            </w:pPr>
          </w:p>
        </w:tc>
      </w:tr>
      <w:tr w:rsidR="0017553A" w:rsidTr="0017553A">
        <w:trPr>
          <w:trHeight w:val="2689"/>
        </w:trPr>
        <w:tc>
          <w:tcPr>
            <w:tcW w:w="259" w:type="dxa"/>
            <w:tcBorders>
              <w:top w:val="single" w:sz="4" w:space="0" w:color="auto"/>
              <w:left w:val="single" w:sz="4" w:space="0" w:color="auto"/>
              <w:bottom w:val="single" w:sz="4" w:space="0" w:color="auto"/>
              <w:right w:val="single" w:sz="4" w:space="0" w:color="000000"/>
            </w:tcBorders>
          </w:tcPr>
          <w:p w:rsidR="0017553A" w:rsidRDefault="0017553A">
            <w:pPr>
              <w:spacing w:after="0"/>
              <w:rPr>
                <w:sz w:val="20"/>
                <w:szCs w:val="20"/>
                <w:lang w:val="en-GB" w:eastAsia="en-GB"/>
              </w:rPr>
            </w:pPr>
          </w:p>
        </w:tc>
        <w:tc>
          <w:tcPr>
            <w:tcW w:w="1371" w:type="dxa"/>
            <w:tcBorders>
              <w:top w:val="single" w:sz="4" w:space="0" w:color="000000"/>
              <w:left w:val="single" w:sz="4" w:space="0" w:color="000000"/>
              <w:bottom w:val="single" w:sz="4" w:space="0" w:color="auto"/>
              <w:right w:val="single" w:sz="4" w:space="0" w:color="000000"/>
            </w:tcBorders>
          </w:tcPr>
          <w:p w:rsidR="0017553A" w:rsidRDefault="0017553A">
            <w:pPr>
              <w:rPr>
                <w:b/>
                <w:sz w:val="20"/>
                <w:szCs w:val="20"/>
                <w:lang w:val="sr-Cyrl-CS" w:eastAsia="en-GB"/>
              </w:rPr>
            </w:pPr>
            <w:r>
              <w:rPr>
                <w:b/>
                <w:sz w:val="20"/>
                <w:szCs w:val="20"/>
                <w:lang w:val="sr-Cyrl-CS" w:eastAsia="en-GB"/>
              </w:rPr>
              <w:t>3.5.</w:t>
            </w:r>
          </w:p>
          <w:p w:rsidR="0017553A" w:rsidRDefault="0017553A">
            <w:pPr>
              <w:rPr>
                <w:b/>
                <w:sz w:val="20"/>
                <w:szCs w:val="20"/>
                <w:highlight w:val="green"/>
                <w:lang w:val="sr-Cyrl-CS" w:eastAsia="en-GB"/>
              </w:rPr>
            </w:pPr>
          </w:p>
          <w:p w:rsidR="0017553A" w:rsidRDefault="0017553A">
            <w:pPr>
              <w:rPr>
                <w:b/>
                <w:sz w:val="20"/>
                <w:szCs w:val="20"/>
                <w:highlight w:val="green"/>
                <w:lang w:val="sr-Cyrl-CS" w:eastAsia="en-GB"/>
              </w:rPr>
            </w:pPr>
          </w:p>
          <w:p w:rsidR="0017553A" w:rsidRDefault="0017553A">
            <w:pPr>
              <w:rPr>
                <w:b/>
                <w:sz w:val="20"/>
                <w:szCs w:val="20"/>
                <w:highlight w:val="green"/>
                <w:lang w:val="sr-Cyrl-CS" w:eastAsia="en-GB"/>
              </w:rPr>
            </w:pPr>
          </w:p>
          <w:p w:rsidR="0017553A" w:rsidRDefault="0017553A">
            <w:pPr>
              <w:rPr>
                <w:b/>
                <w:sz w:val="20"/>
                <w:szCs w:val="20"/>
                <w:highlight w:val="green"/>
                <w:lang w:val="sr-Cyrl-CS" w:eastAsia="en-GB"/>
              </w:rPr>
            </w:pPr>
          </w:p>
          <w:p w:rsidR="0017553A" w:rsidRDefault="0017553A">
            <w:pPr>
              <w:tabs>
                <w:tab w:val="left" w:pos="803"/>
              </w:tabs>
              <w:rPr>
                <w:sz w:val="20"/>
                <w:szCs w:val="20"/>
                <w:highlight w:val="green"/>
                <w:lang w:val="en-GB" w:eastAsia="en-GB"/>
              </w:rPr>
            </w:pPr>
          </w:p>
        </w:tc>
        <w:tc>
          <w:tcPr>
            <w:tcW w:w="4583" w:type="dxa"/>
            <w:gridSpan w:val="2"/>
            <w:tcBorders>
              <w:top w:val="single" w:sz="4" w:space="0" w:color="000000"/>
              <w:left w:val="single" w:sz="4" w:space="0" w:color="000000"/>
              <w:bottom w:val="single" w:sz="4" w:space="0" w:color="auto"/>
              <w:right w:val="single" w:sz="4" w:space="0" w:color="000000"/>
            </w:tcBorders>
            <w:hideMark/>
          </w:tcPr>
          <w:p w:rsidR="0017553A" w:rsidRDefault="0017553A">
            <w:pPr>
              <w:spacing w:after="0"/>
              <w:rPr>
                <w:sz w:val="20"/>
                <w:szCs w:val="20"/>
              </w:rPr>
            </w:pPr>
            <w:r>
              <w:rPr>
                <w:sz w:val="20"/>
                <w:szCs w:val="20"/>
                <w:lang w:eastAsia="en-GB"/>
              </w:rPr>
              <w:t>National standardisation bodies may not object to a subject for standardisation in their work programme being considered at European level in accordance with the rules laid down by the European standardisation organisations and may not undertake any action which could prejudice a decision in this regard.</w:t>
            </w:r>
          </w:p>
        </w:tc>
        <w:tc>
          <w:tcPr>
            <w:tcW w:w="993" w:type="dxa"/>
            <w:tcBorders>
              <w:top w:val="single" w:sz="4" w:space="0" w:color="000000"/>
              <w:left w:val="single" w:sz="4" w:space="0" w:color="000000"/>
              <w:bottom w:val="single" w:sz="4" w:space="0" w:color="auto"/>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0.</w:t>
            </w:r>
            <w:r>
              <w:rPr>
                <w:b/>
                <w:sz w:val="20"/>
                <w:szCs w:val="20"/>
                <w:lang w:eastAsia="en-GB"/>
              </w:rPr>
              <w:t>3</w:t>
            </w:r>
            <w:r>
              <w:rPr>
                <w:b/>
                <w:sz w:val="20"/>
                <w:szCs w:val="20"/>
                <w:lang w:val="sr-Cyrl-CS" w:eastAsia="en-GB"/>
              </w:rPr>
              <w:t>.</w:t>
            </w:r>
          </w:p>
          <w:p w:rsidR="0017553A" w:rsidRDefault="0017553A">
            <w:pPr>
              <w:spacing w:after="0"/>
              <w:rPr>
                <w:b/>
                <w:sz w:val="20"/>
                <w:szCs w:val="20"/>
                <w:lang w:val="sr-Cyrl-CS" w:eastAsia="en-GB"/>
              </w:rPr>
            </w:pPr>
            <w:r>
              <w:rPr>
                <w:b/>
                <w:sz w:val="20"/>
                <w:szCs w:val="20"/>
                <w:lang w:val="sr-Cyrl-CS" w:eastAsia="en-GB"/>
              </w:rPr>
              <w:t>31.2</w:t>
            </w:r>
          </w:p>
        </w:tc>
        <w:tc>
          <w:tcPr>
            <w:tcW w:w="3827" w:type="dxa"/>
            <w:tcBorders>
              <w:top w:val="single" w:sz="4" w:space="0" w:color="000000"/>
              <w:left w:val="single" w:sz="4" w:space="0" w:color="000000"/>
              <w:bottom w:val="single" w:sz="4" w:space="0" w:color="auto"/>
              <w:right w:val="single" w:sz="4" w:space="0" w:color="000000"/>
            </w:tcBorders>
            <w:hideMark/>
          </w:tcPr>
          <w:p w:rsidR="0017553A" w:rsidRDefault="0017553A">
            <w:pPr>
              <w:spacing w:after="0"/>
              <w:rPr>
                <w:sz w:val="20"/>
                <w:szCs w:val="20"/>
                <w:lang w:val="en-GB"/>
              </w:rPr>
            </w:pPr>
            <w:r>
              <w:rPr>
                <w:rFonts w:eastAsia="Times New Roman"/>
                <w:sz w:val="20"/>
                <w:szCs w:val="20"/>
                <w:lang w:eastAsia="en-GB"/>
              </w:rPr>
              <w:t xml:space="preserve">Институт омогућава и да предмет из плана доношења стандарда буде разматран на европском нивоу, у складу са правилима европских организација за стандардизацију и неће предузимати било какве активности које би могле утицати на коначну одлуку о том предмету. </w:t>
            </w:r>
          </w:p>
        </w:tc>
        <w:tc>
          <w:tcPr>
            <w:tcW w:w="992" w:type="dxa"/>
            <w:tcBorders>
              <w:top w:val="single" w:sz="4" w:space="0" w:color="000000"/>
              <w:left w:val="single" w:sz="4" w:space="0" w:color="000000"/>
              <w:bottom w:val="single" w:sz="4" w:space="0" w:color="auto"/>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ПУ</w:t>
            </w:r>
          </w:p>
        </w:tc>
        <w:tc>
          <w:tcPr>
            <w:tcW w:w="2410" w:type="dxa"/>
            <w:gridSpan w:val="2"/>
            <w:tcBorders>
              <w:top w:val="single" w:sz="4" w:space="0" w:color="000000"/>
              <w:left w:val="single" w:sz="4" w:space="0" w:color="000000"/>
              <w:bottom w:val="single" w:sz="4" w:space="0" w:color="auto"/>
              <w:right w:val="single" w:sz="4" w:space="0" w:color="000000"/>
            </w:tcBorders>
            <w:hideMark/>
          </w:tcPr>
          <w:p w:rsidR="0017553A" w:rsidRDefault="0017553A">
            <w:pPr>
              <w:spacing w:after="0"/>
              <w:rPr>
                <w:iCs/>
                <w:sz w:val="20"/>
                <w:szCs w:val="20"/>
                <w:lang w:val="sr-Cyrl-CS" w:eastAsia="en-GB"/>
              </w:rPr>
            </w:pPr>
            <w:r>
              <w:rPr>
                <w:b/>
                <w:iCs/>
                <w:sz w:val="20"/>
                <w:szCs w:val="20"/>
                <w:lang w:val="ru-RU" w:eastAsia="en-GB"/>
              </w:rPr>
              <w:t>Напомена:</w:t>
            </w:r>
            <w:r>
              <w:rPr>
                <w:iCs/>
                <w:sz w:val="20"/>
                <w:szCs w:val="20"/>
                <w:lang w:val="ru-RU" w:eastAsia="en-GB"/>
              </w:rPr>
              <w:t xml:space="preserve">  члан 44. </w:t>
            </w:r>
            <w:r>
              <w:rPr>
                <w:iCs/>
                <w:sz w:val="20"/>
                <w:szCs w:val="20"/>
                <w:lang w:val="sr-Cyrl-CS" w:eastAsia="en-GB"/>
              </w:rPr>
              <w:t xml:space="preserve">Уредбе о </w:t>
            </w:r>
            <w:r>
              <w:rPr>
                <w:iCs/>
                <w:sz w:val="20"/>
                <w:szCs w:val="20"/>
                <w:lang w:val="ru-RU" w:eastAsia="en-GB"/>
              </w:rPr>
              <w:t xml:space="preserve"> поступку пријављивања и начину информисања који се односе на техничке прописе, оцењивање усаглашености и </w:t>
            </w:r>
            <w:r>
              <w:rPr>
                <w:iCs/>
                <w:sz w:val="20"/>
                <w:szCs w:val="20"/>
                <w:lang w:val="sr-Cyrl-CS" w:eastAsia="en-GB"/>
              </w:rPr>
              <w:t>с</w:t>
            </w:r>
            <w:r>
              <w:rPr>
                <w:iCs/>
                <w:sz w:val="20"/>
                <w:szCs w:val="20"/>
                <w:lang w:val="ru-RU" w:eastAsia="en-GB"/>
              </w:rPr>
              <w:t>тандарде</w:t>
            </w:r>
            <w:r>
              <w:rPr>
                <w:iCs/>
                <w:sz w:val="20"/>
                <w:szCs w:val="20"/>
                <w:lang w:val="sr-Cyrl-CS" w:eastAsia="en-GB"/>
              </w:rPr>
              <w:t xml:space="preserve">  </w:t>
            </w:r>
            <w:r>
              <w:rPr>
                <w:iCs/>
                <w:sz w:val="20"/>
                <w:szCs w:val="20"/>
                <w:lang w:val="ru-RU" w:eastAsia="en-GB"/>
              </w:rPr>
              <w:t>("Сл</w:t>
            </w:r>
            <w:r>
              <w:rPr>
                <w:iCs/>
                <w:sz w:val="20"/>
                <w:szCs w:val="20"/>
                <w:lang w:val="sr-Cyrl-CS" w:eastAsia="en-GB"/>
              </w:rPr>
              <w:t>ужбени</w:t>
            </w:r>
            <w:r>
              <w:rPr>
                <w:iCs/>
                <w:sz w:val="20"/>
                <w:szCs w:val="20"/>
                <w:lang w:val="ru-RU" w:eastAsia="en-GB"/>
              </w:rPr>
              <w:t xml:space="preserve"> гласник РС", бр</w:t>
            </w:r>
            <w:r>
              <w:rPr>
                <w:iCs/>
                <w:sz w:val="20"/>
                <w:szCs w:val="20"/>
                <w:lang w:val="sr-Cyrl-CS" w:eastAsia="en-GB"/>
              </w:rPr>
              <w:t>ој</w:t>
            </w:r>
            <w:r>
              <w:rPr>
                <w:iCs/>
                <w:sz w:val="20"/>
                <w:szCs w:val="20"/>
                <w:lang w:val="ru-RU" w:eastAsia="en-GB"/>
              </w:rPr>
              <w:t xml:space="preserve"> 45/2010) прописује одложену примену наведене одредбе, од  дана приступања Републике Србије ЕУ.</w:t>
            </w:r>
          </w:p>
        </w:tc>
        <w:tc>
          <w:tcPr>
            <w:tcW w:w="1796" w:type="dxa"/>
            <w:tcBorders>
              <w:top w:val="single" w:sz="4" w:space="0" w:color="000000"/>
              <w:left w:val="single" w:sz="4" w:space="0" w:color="000000"/>
              <w:bottom w:val="single" w:sz="4" w:space="0" w:color="auto"/>
              <w:right w:val="single" w:sz="4" w:space="0" w:color="000000"/>
            </w:tcBorders>
          </w:tcPr>
          <w:p w:rsidR="0017553A" w:rsidRDefault="0017553A">
            <w:pPr>
              <w:spacing w:after="0"/>
              <w:rPr>
                <w:sz w:val="20"/>
                <w:szCs w:val="20"/>
                <w:lang w:val="sr-Cyrl-CS" w:eastAsia="en-GB"/>
              </w:rPr>
            </w:pPr>
          </w:p>
        </w:tc>
      </w:tr>
      <w:tr w:rsidR="0017553A" w:rsidTr="0017553A">
        <w:trPr>
          <w:trHeight w:val="983"/>
        </w:trPr>
        <w:tc>
          <w:tcPr>
            <w:tcW w:w="259" w:type="dxa"/>
            <w:tcBorders>
              <w:top w:val="single" w:sz="4" w:space="0" w:color="auto"/>
              <w:left w:val="single" w:sz="4" w:space="0" w:color="auto"/>
              <w:bottom w:val="single" w:sz="4" w:space="0" w:color="auto"/>
              <w:right w:val="single" w:sz="4" w:space="0" w:color="000000"/>
            </w:tcBorders>
          </w:tcPr>
          <w:p w:rsidR="0017553A" w:rsidRDefault="0017553A">
            <w:pPr>
              <w:spacing w:after="0"/>
              <w:rPr>
                <w:sz w:val="20"/>
                <w:szCs w:val="20"/>
                <w:lang w:val="en-GB" w:eastAsia="en-GB"/>
              </w:rPr>
            </w:pPr>
          </w:p>
        </w:tc>
        <w:tc>
          <w:tcPr>
            <w:tcW w:w="1371" w:type="dxa"/>
            <w:tcBorders>
              <w:top w:val="single" w:sz="4" w:space="0" w:color="000000"/>
              <w:left w:val="single" w:sz="4" w:space="0" w:color="000000"/>
              <w:bottom w:val="single" w:sz="4" w:space="0" w:color="auto"/>
              <w:right w:val="single" w:sz="4" w:space="0" w:color="000000"/>
            </w:tcBorders>
            <w:hideMark/>
          </w:tcPr>
          <w:p w:rsidR="0017553A" w:rsidRDefault="0017553A">
            <w:pPr>
              <w:rPr>
                <w:b/>
                <w:sz w:val="20"/>
                <w:szCs w:val="20"/>
                <w:lang w:val="sr-Cyrl-CS" w:eastAsia="en-GB"/>
              </w:rPr>
            </w:pPr>
            <w:r>
              <w:rPr>
                <w:b/>
                <w:sz w:val="20"/>
                <w:szCs w:val="20"/>
                <w:lang w:val="sr-Cyrl-CS" w:eastAsia="en-GB"/>
              </w:rPr>
              <w:t>3.6.</w:t>
            </w:r>
          </w:p>
        </w:tc>
        <w:tc>
          <w:tcPr>
            <w:tcW w:w="4583" w:type="dxa"/>
            <w:gridSpan w:val="2"/>
            <w:tcBorders>
              <w:top w:val="single" w:sz="4" w:space="0" w:color="000000"/>
              <w:left w:val="single" w:sz="4" w:space="0" w:color="000000"/>
              <w:bottom w:val="single" w:sz="4" w:space="0" w:color="auto"/>
              <w:right w:val="single" w:sz="4" w:space="0" w:color="000000"/>
            </w:tcBorders>
            <w:hideMark/>
          </w:tcPr>
          <w:p w:rsidR="0017553A" w:rsidRDefault="0017553A">
            <w:pPr>
              <w:spacing w:after="0"/>
              <w:rPr>
                <w:sz w:val="20"/>
                <w:szCs w:val="20"/>
                <w:lang w:val="en-GB" w:eastAsia="en-GB"/>
              </w:rPr>
            </w:pPr>
            <w:r>
              <w:rPr>
                <w:sz w:val="20"/>
                <w:szCs w:val="20"/>
                <w:lang w:eastAsia="en-GB"/>
              </w:rPr>
              <w:t xml:space="preserve">During the preparation of a harmonised standard or after its approval, national standardisation bodies shall not take any </w:t>
            </w:r>
          </w:p>
          <w:p w:rsidR="0017553A" w:rsidRDefault="0017553A">
            <w:pPr>
              <w:spacing w:after="0"/>
              <w:rPr>
                <w:sz w:val="20"/>
                <w:szCs w:val="20"/>
              </w:rPr>
            </w:pPr>
            <w:r>
              <w:rPr>
                <w:sz w:val="20"/>
                <w:szCs w:val="20"/>
                <w:lang w:eastAsia="en-GB"/>
              </w:rPr>
              <w:t>action which could prejudice the harmonisation intended and, in particular, shall not publish in the field in question a new or revised national standard which is not completely in line with an existing harmonised standard. After publication of a new harmonised standard, all conflicting national standards shall be withdrawn within a reasonable deadline</w:t>
            </w:r>
          </w:p>
        </w:tc>
        <w:tc>
          <w:tcPr>
            <w:tcW w:w="993" w:type="dxa"/>
            <w:tcBorders>
              <w:top w:val="single" w:sz="4" w:space="0" w:color="000000"/>
              <w:left w:val="single" w:sz="4" w:space="0" w:color="000000"/>
              <w:bottom w:val="single" w:sz="4" w:space="0" w:color="auto"/>
              <w:right w:val="single" w:sz="4" w:space="0" w:color="000000"/>
            </w:tcBorders>
          </w:tcPr>
          <w:p w:rsidR="0017553A" w:rsidRDefault="0017553A">
            <w:pPr>
              <w:spacing w:after="0"/>
              <w:rPr>
                <w:b/>
                <w:sz w:val="20"/>
                <w:szCs w:val="20"/>
                <w:lang w:val="sr-Cyrl-CS" w:eastAsia="en-GB"/>
              </w:rPr>
            </w:pPr>
            <w:r>
              <w:rPr>
                <w:b/>
                <w:sz w:val="20"/>
                <w:szCs w:val="20"/>
                <w:lang w:val="sr-Cyrl-CS" w:eastAsia="en-GB"/>
              </w:rPr>
              <w:t>0.3.</w:t>
            </w:r>
          </w:p>
          <w:p w:rsidR="0017553A" w:rsidRDefault="0017553A">
            <w:pPr>
              <w:spacing w:after="0"/>
              <w:rPr>
                <w:b/>
                <w:sz w:val="20"/>
                <w:szCs w:val="20"/>
                <w:lang w:val="sr-Cyrl-CS" w:eastAsia="en-GB"/>
              </w:rPr>
            </w:pPr>
            <w:r>
              <w:rPr>
                <w:b/>
                <w:sz w:val="20"/>
                <w:szCs w:val="20"/>
                <w:lang w:val="sr-Cyrl-CS" w:eastAsia="en-GB"/>
              </w:rPr>
              <w:t>32.1.</w:t>
            </w: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r>
              <w:rPr>
                <w:b/>
                <w:sz w:val="20"/>
                <w:szCs w:val="20"/>
                <w:lang w:val="sr-Cyrl-CS" w:eastAsia="en-GB"/>
              </w:rPr>
              <w:t>0.1.</w:t>
            </w:r>
          </w:p>
          <w:p w:rsidR="0017553A" w:rsidRDefault="0017553A">
            <w:pPr>
              <w:spacing w:after="0"/>
              <w:rPr>
                <w:b/>
                <w:sz w:val="20"/>
                <w:szCs w:val="20"/>
                <w:lang w:val="sr-Cyrl-CS" w:eastAsia="en-GB"/>
              </w:rPr>
            </w:pPr>
            <w:r>
              <w:rPr>
                <w:b/>
                <w:sz w:val="20"/>
                <w:szCs w:val="20"/>
                <w:lang w:val="sr-Cyrl-CS" w:eastAsia="en-GB"/>
              </w:rPr>
              <w:t>12.1</w:t>
            </w:r>
          </w:p>
        </w:tc>
        <w:tc>
          <w:tcPr>
            <w:tcW w:w="3827" w:type="dxa"/>
            <w:tcBorders>
              <w:top w:val="single" w:sz="4" w:space="0" w:color="000000"/>
              <w:left w:val="single" w:sz="4" w:space="0" w:color="000000"/>
              <w:bottom w:val="single" w:sz="4" w:space="0" w:color="auto"/>
              <w:right w:val="single" w:sz="4" w:space="0" w:color="000000"/>
            </w:tcBorders>
          </w:tcPr>
          <w:p w:rsidR="0017553A" w:rsidRDefault="0017553A">
            <w:pPr>
              <w:tabs>
                <w:tab w:val="left" w:pos="709"/>
              </w:tabs>
              <w:autoSpaceDE w:val="0"/>
              <w:autoSpaceDN w:val="0"/>
              <w:adjustRightInd w:val="0"/>
              <w:spacing w:after="0"/>
              <w:rPr>
                <w:sz w:val="20"/>
                <w:szCs w:val="20"/>
                <w:lang w:val="en-GB"/>
              </w:rPr>
            </w:pPr>
            <w:r>
              <w:rPr>
                <w:sz w:val="20"/>
                <w:szCs w:val="20"/>
              </w:rPr>
              <w:t>Институт, током припреме европског стандарда или на</w:t>
            </w:r>
            <w:r>
              <w:rPr>
                <w:sz w:val="20"/>
                <w:szCs w:val="20"/>
                <w:lang w:val="sr-Cyrl-CS"/>
              </w:rPr>
              <w:t>к</w:t>
            </w:r>
            <w:r>
              <w:rPr>
                <w:sz w:val="20"/>
                <w:szCs w:val="20"/>
              </w:rPr>
              <w:t>он</w:t>
            </w:r>
            <w:r>
              <w:rPr>
                <w:sz w:val="20"/>
                <w:szCs w:val="20"/>
                <w:lang w:val="sr-Cyrl-CS"/>
              </w:rPr>
              <w:t xml:space="preserve"> </w:t>
            </w:r>
            <w:r>
              <w:rPr>
                <w:sz w:val="20"/>
                <w:szCs w:val="20"/>
              </w:rPr>
              <w:t>његовог одобравања у европским организацијама за стандардизацију из</w:t>
            </w:r>
            <w:r>
              <w:rPr>
                <w:sz w:val="20"/>
                <w:szCs w:val="20"/>
                <w:lang w:val="sr-Cyrl-CS"/>
              </w:rPr>
              <w:t xml:space="preserve"> </w:t>
            </w:r>
            <w:r>
              <w:rPr>
                <w:sz w:val="20"/>
                <w:szCs w:val="20"/>
              </w:rPr>
              <w:t>члана 14. став 1. тачка 10) ове уредбе, неће</w:t>
            </w:r>
            <w:r>
              <w:rPr>
                <w:sz w:val="20"/>
                <w:szCs w:val="20"/>
                <w:lang w:val="sr-Cyrl-CS"/>
              </w:rPr>
              <w:t xml:space="preserve"> </w:t>
            </w:r>
            <w:r>
              <w:rPr>
                <w:sz w:val="20"/>
                <w:szCs w:val="20"/>
              </w:rPr>
              <w:t>предузимати активности које би могле утицати на планирано усклађивање, односно неће објавити</w:t>
            </w:r>
            <w:r>
              <w:rPr>
                <w:sz w:val="20"/>
                <w:szCs w:val="20"/>
                <w:lang w:val="sr-Cyrl-CS"/>
              </w:rPr>
              <w:t xml:space="preserve"> </w:t>
            </w:r>
            <w:r>
              <w:rPr>
                <w:sz w:val="20"/>
                <w:szCs w:val="20"/>
              </w:rPr>
              <w:t>нови или измењени српски стандард који није у потпуности усклађен са постојећим европским</w:t>
            </w:r>
            <w:r>
              <w:rPr>
                <w:sz w:val="20"/>
                <w:szCs w:val="20"/>
                <w:lang w:val="sr-Cyrl-CS"/>
              </w:rPr>
              <w:t xml:space="preserve"> </w:t>
            </w:r>
            <w:r>
              <w:rPr>
                <w:sz w:val="20"/>
                <w:szCs w:val="20"/>
              </w:rPr>
              <w:t>стандардом.</w:t>
            </w:r>
          </w:p>
          <w:p w:rsidR="0017553A" w:rsidRDefault="0017553A">
            <w:pPr>
              <w:tabs>
                <w:tab w:val="left" w:pos="709"/>
              </w:tabs>
              <w:autoSpaceDE w:val="0"/>
              <w:autoSpaceDN w:val="0"/>
              <w:adjustRightInd w:val="0"/>
              <w:spacing w:after="0"/>
              <w:rPr>
                <w:sz w:val="20"/>
                <w:szCs w:val="20"/>
              </w:rPr>
            </w:pPr>
          </w:p>
          <w:p w:rsidR="0017553A" w:rsidRDefault="0017553A">
            <w:pPr>
              <w:tabs>
                <w:tab w:val="left" w:pos="709"/>
              </w:tabs>
              <w:autoSpaceDE w:val="0"/>
              <w:autoSpaceDN w:val="0"/>
              <w:adjustRightInd w:val="0"/>
              <w:spacing w:after="0"/>
              <w:rPr>
                <w:sz w:val="20"/>
                <w:szCs w:val="20"/>
                <w:lang w:val="en-GB"/>
              </w:rPr>
            </w:pPr>
            <w:r>
              <w:rPr>
                <w:sz w:val="20"/>
                <w:szCs w:val="20"/>
              </w:rPr>
              <w:t>СРПСКИ СТАНДАРДИ ДОНОСЕ</w:t>
            </w:r>
            <w:r>
              <w:rPr>
                <w:sz w:val="20"/>
                <w:szCs w:val="20"/>
                <w:lang w:val="sr-Cyrl-RS"/>
              </w:rPr>
              <w:t xml:space="preserve"> СЕ, </w:t>
            </w:r>
            <w:r>
              <w:rPr>
                <w:sz w:val="20"/>
                <w:szCs w:val="20"/>
              </w:rPr>
              <w:t xml:space="preserve">ОБЈАВЉУЈУ </w:t>
            </w:r>
            <w:r>
              <w:rPr>
                <w:sz w:val="20"/>
                <w:szCs w:val="20"/>
                <w:lang w:val="sr-Cyrl-CS"/>
              </w:rPr>
              <w:t xml:space="preserve">И </w:t>
            </w:r>
            <w:r>
              <w:rPr>
                <w:sz w:val="20"/>
                <w:szCs w:val="20"/>
                <w:lang w:val="sr-Cyrl-RS"/>
              </w:rPr>
              <w:t>ПОВЛАЧЕ</w:t>
            </w:r>
            <w:r>
              <w:rPr>
                <w:sz w:val="20"/>
                <w:szCs w:val="20"/>
              </w:rPr>
              <w:t xml:space="preserve"> У СКЛАДУ СА ОВИМ ЗАКОНОМ И ПРАВИЛИМА ИНСТИТУТА КОЈА СУ УСКЛАЂЕНА СА </w:t>
            </w:r>
            <w:r>
              <w:rPr>
                <w:sz w:val="20"/>
                <w:szCs w:val="20"/>
              </w:rPr>
              <w:lastRenderedPageBreak/>
              <w:t>ПРАВИЛИМА МЕЂУНАРОДНИХ И ЕВРОПСКИХ ОРГАНИЗАЦИЈА ЗА СТАНДАРДИЗАЦИЈУ И КОДЕКСОМ ДОБРЕ ПРАКСЕ ЗА ИЗРАДУ, ДОНОШЕЊЕ И ПРИМЕНУ СТАНДАРДА ИЗ СПОРАЗУМА О ТЕХНИЧКИМ ПРЕПРЕКАМА ТРГОВИНИ СВЕТСКЕ ТРГОВИНСКЕ ОРГАНИЗАЦИЈЕ.</w:t>
            </w: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lastRenderedPageBreak/>
              <w:t>ПУ</w:t>
            </w:r>
          </w:p>
        </w:tc>
        <w:tc>
          <w:tcPr>
            <w:tcW w:w="2410" w:type="dxa"/>
            <w:gridSpan w:val="2"/>
            <w:tcBorders>
              <w:top w:val="single" w:sz="4" w:space="0" w:color="000000"/>
              <w:left w:val="single" w:sz="4" w:space="0" w:color="000000"/>
              <w:bottom w:val="single" w:sz="4" w:space="0" w:color="auto"/>
              <w:right w:val="single" w:sz="4" w:space="0" w:color="000000"/>
            </w:tcBorders>
            <w:hideMark/>
          </w:tcPr>
          <w:p w:rsidR="0017553A" w:rsidRDefault="0017553A">
            <w:pPr>
              <w:spacing w:after="0"/>
              <w:rPr>
                <w:iCs/>
                <w:sz w:val="20"/>
                <w:szCs w:val="20"/>
                <w:lang w:val="en-GB" w:eastAsia="en-GB"/>
              </w:rPr>
            </w:pPr>
            <w:r>
              <w:rPr>
                <w:b/>
                <w:iCs/>
                <w:sz w:val="20"/>
                <w:szCs w:val="20"/>
                <w:lang w:val="ru-RU" w:eastAsia="en-GB"/>
              </w:rPr>
              <w:t>Напомена:</w:t>
            </w:r>
            <w:r>
              <w:rPr>
                <w:iCs/>
                <w:sz w:val="20"/>
                <w:szCs w:val="20"/>
                <w:lang w:val="ru-RU" w:eastAsia="en-GB"/>
              </w:rPr>
              <w:t xml:space="preserve">  члан 44. </w:t>
            </w:r>
            <w:r>
              <w:rPr>
                <w:iCs/>
                <w:sz w:val="20"/>
                <w:szCs w:val="20"/>
                <w:lang w:val="sr-Cyrl-CS" w:eastAsia="en-GB"/>
              </w:rPr>
              <w:t xml:space="preserve">Уредбе о </w:t>
            </w:r>
            <w:r>
              <w:rPr>
                <w:iCs/>
                <w:sz w:val="20"/>
                <w:szCs w:val="20"/>
                <w:lang w:val="ru-RU" w:eastAsia="en-GB"/>
              </w:rPr>
              <w:t xml:space="preserve"> поступку пријављивања и начину информисања који се односе на техничке прописе, оцењивање усаглашености и </w:t>
            </w:r>
            <w:r>
              <w:rPr>
                <w:iCs/>
                <w:sz w:val="20"/>
                <w:szCs w:val="20"/>
                <w:lang w:val="sr-Cyrl-CS" w:eastAsia="en-GB"/>
              </w:rPr>
              <w:t>с</w:t>
            </w:r>
            <w:r>
              <w:rPr>
                <w:iCs/>
                <w:sz w:val="20"/>
                <w:szCs w:val="20"/>
                <w:lang w:val="ru-RU" w:eastAsia="en-GB"/>
              </w:rPr>
              <w:t>тандарде</w:t>
            </w:r>
            <w:r>
              <w:rPr>
                <w:iCs/>
                <w:sz w:val="20"/>
                <w:szCs w:val="20"/>
                <w:lang w:val="sr-Cyrl-CS" w:eastAsia="en-GB"/>
              </w:rPr>
              <w:t xml:space="preserve">  </w:t>
            </w:r>
            <w:r>
              <w:rPr>
                <w:iCs/>
                <w:sz w:val="20"/>
                <w:szCs w:val="20"/>
                <w:lang w:val="ru-RU" w:eastAsia="en-GB"/>
              </w:rPr>
              <w:t>("Сл</w:t>
            </w:r>
            <w:r>
              <w:rPr>
                <w:iCs/>
                <w:sz w:val="20"/>
                <w:szCs w:val="20"/>
                <w:lang w:val="sr-Cyrl-CS" w:eastAsia="en-GB"/>
              </w:rPr>
              <w:t>ужбени</w:t>
            </w:r>
            <w:r>
              <w:rPr>
                <w:iCs/>
                <w:sz w:val="20"/>
                <w:szCs w:val="20"/>
                <w:lang w:val="ru-RU" w:eastAsia="en-GB"/>
              </w:rPr>
              <w:t xml:space="preserve"> гласник РС", бр</w:t>
            </w:r>
            <w:r>
              <w:rPr>
                <w:iCs/>
                <w:sz w:val="20"/>
                <w:szCs w:val="20"/>
                <w:lang w:val="sr-Cyrl-CS" w:eastAsia="en-GB"/>
              </w:rPr>
              <w:t>ој</w:t>
            </w:r>
            <w:r>
              <w:rPr>
                <w:iCs/>
                <w:sz w:val="20"/>
                <w:szCs w:val="20"/>
                <w:lang w:val="ru-RU" w:eastAsia="en-GB"/>
              </w:rPr>
              <w:t xml:space="preserve"> 45/2010) прописује одложену примену наведене одредбе, од  дана приступања Републике Србије ЕУ.</w:t>
            </w:r>
          </w:p>
        </w:tc>
        <w:tc>
          <w:tcPr>
            <w:tcW w:w="1796" w:type="dxa"/>
            <w:tcBorders>
              <w:top w:val="single" w:sz="4" w:space="0" w:color="000000"/>
              <w:left w:val="single" w:sz="4" w:space="0" w:color="000000"/>
              <w:bottom w:val="single" w:sz="4" w:space="0" w:color="auto"/>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Height w:val="70"/>
        </w:trPr>
        <w:tc>
          <w:tcPr>
            <w:tcW w:w="1371"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eastAsia="en-GB"/>
              </w:rPr>
              <w:lastRenderedPageBreak/>
              <w:t xml:space="preserve">4.1. </w:t>
            </w: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en-GB" w:eastAsia="en-GB"/>
              </w:rPr>
            </w:pP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eastAsia="en-GB"/>
              </w:rPr>
            </w:pPr>
            <w:r>
              <w:rPr>
                <w:sz w:val="20"/>
                <w:szCs w:val="20"/>
                <w:lang w:eastAsia="en-GB"/>
              </w:rPr>
              <w:t>Each European standardisation organisation and national standardisation body shall send at least in electronic form any draft national standard, European standard or European standardisation deliverable to other European standardisation organisations, national standardisation bodies or the Commission, upon their request.</w:t>
            </w:r>
          </w:p>
        </w:tc>
        <w:tc>
          <w:tcPr>
            <w:tcW w:w="993"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0.3</w:t>
            </w:r>
          </w:p>
          <w:p w:rsidR="0017553A" w:rsidRDefault="0017553A">
            <w:pPr>
              <w:spacing w:after="0"/>
              <w:rPr>
                <w:b/>
                <w:sz w:val="20"/>
                <w:szCs w:val="20"/>
                <w:lang w:val="sr-Cyrl-CS" w:eastAsia="en-GB"/>
              </w:rPr>
            </w:pPr>
            <w:r>
              <w:rPr>
                <w:b/>
                <w:sz w:val="20"/>
                <w:szCs w:val="20"/>
                <w:lang w:val="sr-Cyrl-CS" w:eastAsia="en-GB"/>
              </w:rPr>
              <w:t>30.2.</w:t>
            </w:r>
          </w:p>
        </w:tc>
        <w:tc>
          <w:tcPr>
            <w:tcW w:w="3827" w:type="dxa"/>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eastAsia="en-GB"/>
              </w:rPr>
            </w:pPr>
            <w:r>
              <w:rPr>
                <w:sz w:val="20"/>
                <w:szCs w:val="20"/>
                <w:lang w:val="sr-Cyrl-CS" w:eastAsia="en-GB"/>
              </w:rPr>
              <w:t>Институт, на захтев Комисије, односно организација и тела за стандардизацију доставља нацрте стандарда и обавештава их о свим предузетим активностима у вези са примљеним примедбама на нацрте стандарда.</w:t>
            </w:r>
          </w:p>
        </w:tc>
        <w:tc>
          <w:tcPr>
            <w:tcW w:w="992" w:type="dxa"/>
            <w:tcBorders>
              <w:top w:val="single" w:sz="4" w:space="0" w:color="000000"/>
              <w:left w:val="single" w:sz="4" w:space="0" w:color="000000"/>
              <w:bottom w:val="nil"/>
              <w:right w:val="single" w:sz="4" w:space="0" w:color="000000"/>
            </w:tcBorders>
          </w:tcPr>
          <w:p w:rsidR="0017553A" w:rsidRDefault="0017553A">
            <w:pPr>
              <w:spacing w:after="0"/>
              <w:rPr>
                <w:b/>
                <w:sz w:val="20"/>
                <w:szCs w:val="20"/>
                <w:lang w:val="sr-Cyrl-CS" w:eastAsia="en-GB"/>
              </w:rPr>
            </w:pPr>
            <w:r>
              <w:rPr>
                <w:b/>
                <w:sz w:val="20"/>
                <w:szCs w:val="20"/>
                <w:lang w:val="sr-Cyrl-CS" w:eastAsia="en-GB"/>
              </w:rPr>
              <w:t xml:space="preserve">ПУ </w:t>
            </w: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iCs/>
                <w:sz w:val="20"/>
                <w:szCs w:val="20"/>
                <w:lang w:val="en-GB" w:eastAsia="en-GB"/>
              </w:rPr>
            </w:pPr>
            <w:r>
              <w:rPr>
                <w:b/>
                <w:iCs/>
                <w:sz w:val="20"/>
                <w:szCs w:val="20"/>
                <w:lang w:val="ru-RU" w:eastAsia="en-GB"/>
              </w:rPr>
              <w:t>Напомена:</w:t>
            </w:r>
            <w:r>
              <w:rPr>
                <w:iCs/>
                <w:sz w:val="20"/>
                <w:szCs w:val="20"/>
                <w:lang w:val="ru-RU" w:eastAsia="en-GB"/>
              </w:rPr>
              <w:t xml:space="preserve">  члан 44. </w:t>
            </w:r>
            <w:r>
              <w:rPr>
                <w:iCs/>
                <w:sz w:val="20"/>
                <w:szCs w:val="20"/>
                <w:lang w:val="sr-Cyrl-CS" w:eastAsia="en-GB"/>
              </w:rPr>
              <w:t xml:space="preserve">Уредбе о </w:t>
            </w:r>
            <w:r>
              <w:rPr>
                <w:iCs/>
                <w:sz w:val="20"/>
                <w:szCs w:val="20"/>
                <w:lang w:val="ru-RU" w:eastAsia="en-GB"/>
              </w:rPr>
              <w:t xml:space="preserve"> поступку пријављивања и начину информисања који се односе на техничке прописе, оцењивање усаглашености и </w:t>
            </w:r>
            <w:r>
              <w:rPr>
                <w:iCs/>
                <w:sz w:val="20"/>
                <w:szCs w:val="20"/>
                <w:lang w:val="sr-Cyrl-CS" w:eastAsia="en-GB"/>
              </w:rPr>
              <w:t>с</w:t>
            </w:r>
            <w:r>
              <w:rPr>
                <w:iCs/>
                <w:sz w:val="20"/>
                <w:szCs w:val="20"/>
                <w:lang w:val="ru-RU" w:eastAsia="en-GB"/>
              </w:rPr>
              <w:t>тандарде</w:t>
            </w:r>
            <w:r>
              <w:rPr>
                <w:iCs/>
                <w:sz w:val="20"/>
                <w:szCs w:val="20"/>
                <w:lang w:val="sr-Cyrl-CS" w:eastAsia="en-GB"/>
              </w:rPr>
              <w:t xml:space="preserve">  </w:t>
            </w:r>
            <w:r>
              <w:rPr>
                <w:iCs/>
                <w:sz w:val="20"/>
                <w:szCs w:val="20"/>
                <w:lang w:val="ru-RU" w:eastAsia="en-GB"/>
              </w:rPr>
              <w:t>("Сл</w:t>
            </w:r>
            <w:r>
              <w:rPr>
                <w:iCs/>
                <w:sz w:val="20"/>
                <w:szCs w:val="20"/>
                <w:lang w:val="sr-Cyrl-CS" w:eastAsia="en-GB"/>
              </w:rPr>
              <w:t>ужбени</w:t>
            </w:r>
            <w:r>
              <w:rPr>
                <w:iCs/>
                <w:sz w:val="20"/>
                <w:szCs w:val="20"/>
                <w:lang w:val="ru-RU" w:eastAsia="en-GB"/>
              </w:rPr>
              <w:t xml:space="preserve"> гласник РС", бр</w:t>
            </w:r>
            <w:r>
              <w:rPr>
                <w:iCs/>
                <w:sz w:val="20"/>
                <w:szCs w:val="20"/>
                <w:lang w:val="sr-Cyrl-CS" w:eastAsia="en-GB"/>
              </w:rPr>
              <w:t>ој</w:t>
            </w:r>
            <w:r>
              <w:rPr>
                <w:iCs/>
                <w:sz w:val="20"/>
                <w:szCs w:val="20"/>
                <w:lang w:val="ru-RU" w:eastAsia="en-GB"/>
              </w:rPr>
              <w:t xml:space="preserve"> 45/2010) прописује одложену примену наведене одредбе, од  дана приступања Републике Србије ЕУ.</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eastAsia="en-GB"/>
              </w:rPr>
              <w:t>4.2.</w:t>
            </w:r>
          </w:p>
          <w:p w:rsidR="0017553A" w:rsidRDefault="0017553A">
            <w:pPr>
              <w:spacing w:after="0"/>
              <w:rPr>
                <w:b/>
                <w:sz w:val="20"/>
                <w:szCs w:val="20"/>
                <w:lang w:val="en-GB" w:eastAsia="en-GB"/>
              </w:rPr>
            </w:pPr>
          </w:p>
        </w:tc>
        <w:tc>
          <w:tcPr>
            <w:tcW w:w="4583" w:type="dxa"/>
            <w:gridSpan w:val="2"/>
            <w:tcBorders>
              <w:top w:val="single" w:sz="4" w:space="0" w:color="000000"/>
              <w:left w:val="single" w:sz="4" w:space="0" w:color="000000"/>
              <w:bottom w:val="single" w:sz="4" w:space="0" w:color="000000"/>
              <w:right w:val="single" w:sz="4" w:space="0" w:color="000000"/>
            </w:tcBorders>
          </w:tcPr>
          <w:p w:rsidR="0017553A" w:rsidRDefault="0017553A">
            <w:pPr>
              <w:pStyle w:val="CM4"/>
              <w:jc w:val="both"/>
              <w:rPr>
                <w:rFonts w:ascii="Times New Roman" w:hAnsi="Times New Roman"/>
                <w:sz w:val="20"/>
                <w:szCs w:val="20"/>
                <w:lang w:eastAsia="en-GB"/>
              </w:rPr>
            </w:pPr>
            <w:r>
              <w:rPr>
                <w:rFonts w:ascii="Times New Roman" w:hAnsi="Times New Roman"/>
                <w:sz w:val="20"/>
                <w:szCs w:val="20"/>
                <w:lang w:eastAsia="en-GB"/>
              </w:rPr>
              <w:t>Each European standardisation organisation and national standardisation body shall within three months reply to, and take due account of, any comments received from any other</w:t>
            </w:r>
            <w:r>
              <w:rPr>
                <w:rFonts w:ascii="Times New Roman" w:hAnsi="Times New Roman"/>
                <w:sz w:val="20"/>
                <w:szCs w:val="20"/>
                <w:lang w:val="sr-Cyrl-CS" w:eastAsia="en-GB"/>
              </w:rPr>
              <w:t xml:space="preserve"> </w:t>
            </w:r>
            <w:r>
              <w:rPr>
                <w:rFonts w:ascii="Times New Roman" w:hAnsi="Times New Roman"/>
                <w:sz w:val="20"/>
                <w:szCs w:val="20"/>
                <w:lang w:eastAsia="en-GB"/>
              </w:rPr>
              <w:t>EN L 316/20 Official Journal of the European Union 14.11.2012 ( 1 ) OJ L 88, 4.4.2011, p. 5.</w:t>
            </w:r>
            <w:r>
              <w:rPr>
                <w:rFonts w:ascii="Times New Roman" w:hAnsi="Times New Roman"/>
                <w:sz w:val="20"/>
                <w:szCs w:val="20"/>
                <w:lang w:val="sr-Cyrl-CS" w:eastAsia="en-GB"/>
              </w:rPr>
              <w:t xml:space="preserve"> </w:t>
            </w:r>
            <w:r>
              <w:rPr>
                <w:rFonts w:ascii="Times New Roman" w:hAnsi="Times New Roman"/>
                <w:sz w:val="20"/>
                <w:szCs w:val="20"/>
                <w:lang w:eastAsia="en-GB"/>
              </w:rPr>
              <w:t xml:space="preserve">European standardisation organisation, national standardisation body or the Commission with respect to any draft referred to in paragraph 1. </w:t>
            </w:r>
          </w:p>
          <w:p w:rsidR="0017553A" w:rsidRDefault="0017553A">
            <w:pPr>
              <w:rPr>
                <w:rFonts w:ascii="Times New Roman" w:hAnsi="Times New Roman"/>
                <w:sz w:val="20"/>
                <w:szCs w:val="20"/>
                <w:lang w:val="sr-Cyrl-CS" w:eastAsia="en-GB"/>
              </w:rPr>
            </w:pPr>
          </w:p>
          <w:p w:rsidR="0017553A" w:rsidRDefault="0017553A">
            <w:pPr>
              <w:rPr>
                <w:sz w:val="20"/>
                <w:szCs w:val="20"/>
                <w:lang w:val="en-GB"/>
              </w:rPr>
            </w:pP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rPr>
                <w:sz w:val="20"/>
                <w:szCs w:val="20"/>
                <w:lang w:val="sr-Cyrl-CS" w:eastAsia="en-GB"/>
              </w:rPr>
            </w:pPr>
          </w:p>
        </w:tc>
        <w:tc>
          <w:tcPr>
            <w:tcW w:w="992" w:type="dxa"/>
            <w:tcBorders>
              <w:top w:val="single" w:sz="4" w:space="0" w:color="000000"/>
              <w:left w:val="single" w:sz="4" w:space="0" w:color="000000"/>
              <w:bottom w:val="nil"/>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НУ</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 xml:space="preserve">Образложење оцене: </w:t>
            </w:r>
          </w:p>
          <w:p w:rsidR="0017553A" w:rsidRDefault="0017553A">
            <w:pPr>
              <w:spacing w:after="0"/>
              <w:rPr>
                <w:sz w:val="20"/>
                <w:szCs w:val="20"/>
                <w:lang w:val="sr-Cyrl-CS" w:eastAsia="en-GB"/>
              </w:rPr>
            </w:pPr>
            <w:r>
              <w:rPr>
                <w:sz w:val="20"/>
                <w:szCs w:val="20"/>
                <w:lang w:val="sr-Cyrl-CS" w:eastAsia="en-GB"/>
              </w:rPr>
              <w:t>У национално законодавство није  пренета одредба 4.2. Уредбе, а</w:t>
            </w:r>
            <w:r>
              <w:rPr>
                <w:sz w:val="20"/>
                <w:szCs w:val="20"/>
                <w:lang w:val="sr-Latn-CS" w:eastAsia="en-GB"/>
              </w:rPr>
              <w:t xml:space="preserve"> </w:t>
            </w:r>
            <w:r>
              <w:rPr>
                <w:sz w:val="20"/>
                <w:szCs w:val="20"/>
                <w:lang w:val="sr-Cyrl-CS" w:eastAsia="en-GB"/>
              </w:rPr>
              <w:t xml:space="preserve">потпуно усаглашавање са овом одредбом планирано је  изменама  </w:t>
            </w:r>
            <w:r>
              <w:rPr>
                <w:iCs/>
                <w:sz w:val="20"/>
                <w:szCs w:val="20"/>
                <w:lang w:val="sr-Cyrl-CS" w:eastAsia="en-GB"/>
              </w:rPr>
              <w:t xml:space="preserve"> Уредбе о </w:t>
            </w:r>
            <w:r>
              <w:rPr>
                <w:iCs/>
                <w:sz w:val="20"/>
                <w:szCs w:val="20"/>
                <w:lang w:val="ru-RU" w:eastAsia="en-GB"/>
              </w:rPr>
              <w:t xml:space="preserve"> </w:t>
            </w:r>
            <w:r>
              <w:rPr>
                <w:iCs/>
                <w:sz w:val="20"/>
                <w:szCs w:val="20"/>
                <w:lang w:val="ru-RU" w:eastAsia="en-GB"/>
              </w:rPr>
              <w:lastRenderedPageBreak/>
              <w:t xml:space="preserve">поступку пријављивања и начину информисања који се односе на техничке прописе, оцењивање усаглашености и </w:t>
            </w:r>
            <w:r>
              <w:rPr>
                <w:iCs/>
                <w:sz w:val="20"/>
                <w:szCs w:val="20"/>
                <w:lang w:val="sr-Cyrl-CS" w:eastAsia="en-GB"/>
              </w:rPr>
              <w:t>с</w:t>
            </w:r>
            <w:r>
              <w:rPr>
                <w:iCs/>
                <w:sz w:val="20"/>
                <w:szCs w:val="20"/>
                <w:lang w:val="ru-RU" w:eastAsia="en-GB"/>
              </w:rPr>
              <w:t>тандарде</w:t>
            </w:r>
            <w:r>
              <w:rPr>
                <w:iCs/>
                <w:sz w:val="20"/>
                <w:szCs w:val="20"/>
                <w:lang w:val="sr-Cyrl-CS" w:eastAsia="en-GB"/>
              </w:rPr>
              <w:t xml:space="preserve">  </w:t>
            </w:r>
            <w:r>
              <w:rPr>
                <w:iCs/>
                <w:sz w:val="20"/>
                <w:szCs w:val="20"/>
                <w:lang w:val="ru-RU" w:eastAsia="en-GB"/>
              </w:rPr>
              <w:t>("Сл</w:t>
            </w:r>
            <w:r>
              <w:rPr>
                <w:iCs/>
                <w:sz w:val="20"/>
                <w:szCs w:val="20"/>
                <w:lang w:val="sr-Cyrl-CS" w:eastAsia="en-GB"/>
              </w:rPr>
              <w:t>ужбени</w:t>
            </w:r>
            <w:r>
              <w:rPr>
                <w:iCs/>
                <w:sz w:val="20"/>
                <w:szCs w:val="20"/>
                <w:lang w:val="ru-RU" w:eastAsia="en-GB"/>
              </w:rPr>
              <w:t xml:space="preserve"> гласник РС", бр</w:t>
            </w:r>
            <w:r>
              <w:rPr>
                <w:iCs/>
                <w:sz w:val="20"/>
                <w:szCs w:val="20"/>
                <w:lang w:val="sr-Cyrl-CS" w:eastAsia="en-GB"/>
              </w:rPr>
              <w:t>ој</w:t>
            </w:r>
            <w:r>
              <w:rPr>
                <w:iCs/>
                <w:sz w:val="20"/>
                <w:szCs w:val="20"/>
                <w:lang w:val="ru-RU" w:eastAsia="en-GB"/>
              </w:rPr>
              <w:t xml:space="preserve"> 45/2010).</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val="sr-Cyrl-CS" w:eastAsia="en-GB"/>
              </w:rPr>
              <w:lastRenderedPageBreak/>
              <w:t>4.3.</w:t>
            </w:r>
          </w:p>
          <w:p w:rsidR="0017553A" w:rsidRDefault="0017553A">
            <w:pPr>
              <w:spacing w:after="0"/>
              <w:rPr>
                <w:b/>
                <w:sz w:val="20"/>
                <w:szCs w:val="20"/>
                <w:lang w:val="en-GB" w:eastAsia="en-GB"/>
              </w:rPr>
            </w:pPr>
          </w:p>
        </w:tc>
        <w:tc>
          <w:tcPr>
            <w:tcW w:w="4583" w:type="dxa"/>
            <w:gridSpan w:val="2"/>
            <w:tcBorders>
              <w:top w:val="single" w:sz="4" w:space="0" w:color="000000"/>
              <w:left w:val="single" w:sz="4" w:space="0" w:color="000000"/>
              <w:bottom w:val="single" w:sz="4" w:space="0" w:color="000000"/>
              <w:right w:val="single" w:sz="4" w:space="0" w:color="000000"/>
            </w:tcBorders>
          </w:tcPr>
          <w:p w:rsidR="0017553A" w:rsidRDefault="0017553A">
            <w:pPr>
              <w:rPr>
                <w:sz w:val="20"/>
                <w:szCs w:val="20"/>
                <w:lang w:val="sr-Cyrl-CS" w:eastAsia="en-GB"/>
              </w:rPr>
            </w:pPr>
            <w:r>
              <w:rPr>
                <w:sz w:val="20"/>
                <w:szCs w:val="20"/>
                <w:lang w:eastAsia="en-GB"/>
              </w:rPr>
              <w:t>When a national standardisation body receives comments indicating that the draft standard would have a negative impact on the internal market, it shall consult the European standardisation organisations and the Commission before adopting it.</w:t>
            </w:r>
          </w:p>
          <w:p w:rsidR="0017553A" w:rsidRDefault="0017553A">
            <w:pPr>
              <w:rPr>
                <w:sz w:val="20"/>
                <w:szCs w:val="20"/>
                <w:lang w:val="en-GB"/>
              </w:rPr>
            </w:pP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rPr>
                <w:sz w:val="20"/>
                <w:szCs w:val="20"/>
                <w:lang w:val="sr-Cyrl-CS" w:eastAsia="en-GB"/>
              </w:rPr>
            </w:pPr>
          </w:p>
        </w:tc>
        <w:tc>
          <w:tcPr>
            <w:tcW w:w="992" w:type="dxa"/>
            <w:tcBorders>
              <w:top w:val="single" w:sz="4" w:space="0" w:color="000000"/>
              <w:left w:val="single" w:sz="4" w:space="0" w:color="000000"/>
              <w:bottom w:val="nil"/>
              <w:right w:val="single" w:sz="4" w:space="0" w:color="000000"/>
            </w:tcBorders>
          </w:tcPr>
          <w:p w:rsidR="0017553A" w:rsidRDefault="0017553A">
            <w:pPr>
              <w:spacing w:after="0"/>
              <w:rPr>
                <w:b/>
                <w:sz w:val="20"/>
                <w:szCs w:val="20"/>
                <w:lang w:val="sr-Cyrl-CS" w:eastAsia="en-GB"/>
              </w:rPr>
            </w:pPr>
            <w:r>
              <w:rPr>
                <w:b/>
                <w:sz w:val="20"/>
                <w:szCs w:val="20"/>
                <w:lang w:val="sr-Cyrl-CS" w:eastAsia="en-GB"/>
              </w:rPr>
              <w:t>НУ</w:t>
            </w: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 xml:space="preserve">Образложење оцене: </w:t>
            </w:r>
          </w:p>
          <w:p w:rsidR="0017553A" w:rsidRDefault="0017553A">
            <w:pPr>
              <w:spacing w:after="0"/>
              <w:rPr>
                <w:sz w:val="20"/>
                <w:szCs w:val="20"/>
                <w:lang w:val="sr-Cyrl-CS" w:eastAsia="en-GB"/>
              </w:rPr>
            </w:pPr>
            <w:r>
              <w:rPr>
                <w:sz w:val="20"/>
                <w:szCs w:val="20"/>
                <w:lang w:val="sr-Cyrl-CS" w:eastAsia="en-GB"/>
              </w:rPr>
              <w:t>У национално законодавство није  пренета одредба 4.3</w:t>
            </w:r>
            <w:r>
              <w:rPr>
                <w:sz w:val="20"/>
                <w:szCs w:val="20"/>
                <w:lang w:eastAsia="en-GB"/>
              </w:rPr>
              <w:t>.</w:t>
            </w:r>
            <w:r>
              <w:rPr>
                <w:sz w:val="20"/>
                <w:szCs w:val="20"/>
                <w:lang w:val="sr-Cyrl-CS" w:eastAsia="en-GB"/>
              </w:rPr>
              <w:t xml:space="preserve"> Уредбе, а</w:t>
            </w:r>
            <w:r>
              <w:rPr>
                <w:sz w:val="20"/>
                <w:szCs w:val="20"/>
                <w:lang w:val="sr-Latn-CS" w:eastAsia="en-GB"/>
              </w:rPr>
              <w:t xml:space="preserve"> </w:t>
            </w:r>
            <w:r>
              <w:rPr>
                <w:sz w:val="20"/>
                <w:szCs w:val="20"/>
                <w:lang w:val="sr-Cyrl-CS" w:eastAsia="en-GB"/>
              </w:rPr>
              <w:t xml:space="preserve">потпуно усаглашавање планирано је  изменама  </w:t>
            </w:r>
            <w:r>
              <w:rPr>
                <w:iCs/>
                <w:sz w:val="20"/>
                <w:szCs w:val="20"/>
                <w:lang w:val="sr-Cyrl-CS" w:eastAsia="en-GB"/>
              </w:rPr>
              <w:t xml:space="preserve"> Уредбе о </w:t>
            </w:r>
            <w:r>
              <w:rPr>
                <w:iCs/>
                <w:sz w:val="20"/>
                <w:szCs w:val="20"/>
                <w:lang w:val="ru-RU" w:eastAsia="en-GB"/>
              </w:rPr>
              <w:t xml:space="preserve"> поступку пријављивања и начину информисања који се односе на техничке прописе, оцењивање усаглашености и </w:t>
            </w:r>
            <w:r>
              <w:rPr>
                <w:iCs/>
                <w:sz w:val="20"/>
                <w:szCs w:val="20"/>
                <w:lang w:val="sr-Cyrl-CS" w:eastAsia="en-GB"/>
              </w:rPr>
              <w:t>с</w:t>
            </w:r>
            <w:r>
              <w:rPr>
                <w:iCs/>
                <w:sz w:val="20"/>
                <w:szCs w:val="20"/>
                <w:lang w:val="ru-RU" w:eastAsia="en-GB"/>
              </w:rPr>
              <w:t>тандарде</w:t>
            </w:r>
            <w:r>
              <w:rPr>
                <w:iCs/>
                <w:sz w:val="20"/>
                <w:szCs w:val="20"/>
                <w:lang w:val="sr-Cyrl-CS" w:eastAsia="en-GB"/>
              </w:rPr>
              <w:t xml:space="preserve">  </w:t>
            </w:r>
            <w:r>
              <w:rPr>
                <w:iCs/>
                <w:sz w:val="20"/>
                <w:szCs w:val="20"/>
                <w:lang w:val="ru-RU" w:eastAsia="en-GB"/>
              </w:rPr>
              <w:t>("Сл</w:t>
            </w:r>
            <w:r>
              <w:rPr>
                <w:iCs/>
                <w:sz w:val="20"/>
                <w:szCs w:val="20"/>
                <w:lang w:val="sr-Cyrl-CS" w:eastAsia="en-GB"/>
              </w:rPr>
              <w:t>ужбени</w:t>
            </w:r>
            <w:r>
              <w:rPr>
                <w:iCs/>
                <w:sz w:val="20"/>
                <w:szCs w:val="20"/>
                <w:lang w:val="ru-RU" w:eastAsia="en-GB"/>
              </w:rPr>
              <w:t xml:space="preserve"> гласник РС", бр</w:t>
            </w:r>
            <w:r>
              <w:rPr>
                <w:iCs/>
                <w:sz w:val="20"/>
                <w:szCs w:val="20"/>
                <w:lang w:val="sr-Cyrl-CS" w:eastAsia="en-GB"/>
              </w:rPr>
              <w:t>ој</w:t>
            </w:r>
            <w:r>
              <w:rPr>
                <w:iCs/>
                <w:sz w:val="20"/>
                <w:szCs w:val="20"/>
                <w:lang w:val="ru-RU" w:eastAsia="en-GB"/>
              </w:rPr>
              <w:t xml:space="preserve"> 45/2010).</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Height w:val="3483"/>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lastRenderedPageBreak/>
              <w:t>4.4. a)</w:t>
            </w:r>
          </w:p>
        </w:tc>
        <w:tc>
          <w:tcPr>
            <w:tcW w:w="4583" w:type="dxa"/>
            <w:gridSpan w:val="2"/>
            <w:tcBorders>
              <w:top w:val="single" w:sz="4" w:space="0" w:color="000000"/>
              <w:left w:val="single" w:sz="4" w:space="0" w:color="000000"/>
              <w:bottom w:val="single" w:sz="4" w:space="0" w:color="000000"/>
              <w:right w:val="single" w:sz="4" w:space="0" w:color="000000"/>
            </w:tcBorders>
          </w:tcPr>
          <w:p w:rsidR="0017553A" w:rsidRDefault="0017553A">
            <w:pPr>
              <w:pStyle w:val="CM4"/>
              <w:jc w:val="both"/>
              <w:rPr>
                <w:rFonts w:ascii="Times New Roman" w:hAnsi="Times New Roman"/>
                <w:sz w:val="20"/>
                <w:szCs w:val="20"/>
                <w:lang w:eastAsia="en-GB"/>
              </w:rPr>
            </w:pPr>
            <w:r>
              <w:rPr>
                <w:rFonts w:ascii="Times New Roman" w:hAnsi="Times New Roman"/>
                <w:sz w:val="20"/>
                <w:szCs w:val="20"/>
                <w:lang w:eastAsia="en-GB"/>
              </w:rPr>
              <w:t xml:space="preserve">National standardisation bodies shall:ensure access to draft national standards in such a way that all relevant parties in particular those established in other Member States have the opportunity to submit comments; </w:t>
            </w:r>
          </w:p>
          <w:p w:rsidR="0017553A" w:rsidRDefault="0017553A">
            <w:pPr>
              <w:rPr>
                <w:rFonts w:ascii="Times New Roman" w:hAnsi="Times New Roman"/>
                <w:b/>
                <w:sz w:val="20"/>
                <w:szCs w:val="20"/>
                <w:lang w:val="sr-Cyrl-CS" w:eastAsia="en-GB"/>
              </w:rPr>
            </w:pP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val="sr-Cyrl-CS" w:eastAsia="en-GB"/>
              </w:rPr>
              <w:t>0.1</w:t>
            </w:r>
          </w:p>
          <w:p w:rsidR="0017553A" w:rsidRDefault="0017553A">
            <w:pPr>
              <w:spacing w:after="0"/>
              <w:rPr>
                <w:b/>
                <w:sz w:val="20"/>
                <w:szCs w:val="20"/>
                <w:lang w:val="sr-Cyrl-CS" w:eastAsia="en-GB"/>
              </w:rPr>
            </w:pPr>
            <w:r>
              <w:rPr>
                <w:b/>
                <w:sz w:val="20"/>
                <w:szCs w:val="20"/>
                <w:lang w:val="sr-Cyrl-CS" w:eastAsia="en-GB"/>
              </w:rPr>
              <w:t>12.7.</w:t>
            </w: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hideMark/>
          </w:tcPr>
          <w:p w:rsidR="0017553A" w:rsidRDefault="0017553A">
            <w:pPr>
              <w:pStyle w:val="Normal1"/>
              <w:rPr>
                <w:rFonts w:ascii="Times New Roman" w:hAnsi="Times New Roman" w:cs="Times New Roman"/>
                <w:sz w:val="20"/>
                <w:szCs w:val="20"/>
                <w:lang w:val="ru-RU" w:eastAsia="en-GB"/>
              </w:rPr>
            </w:pPr>
            <w:r>
              <w:rPr>
                <w:rFonts w:ascii="Times New Roman" w:hAnsi="Times New Roman" w:cs="Times New Roman"/>
                <w:sz w:val="20"/>
                <w:szCs w:val="20"/>
                <w:lang w:val="en-GB"/>
              </w:rPr>
              <w:t xml:space="preserve">ОБАВЕШТЕЊЕ О ПОКРЕТАЊУ ПОСТУПКА ЗА ДОНОШЕЊЕ СРПСКОГ СТАНДАРДА, А КАДА ЈЕ ТО НЕОПХОДНО И ЗА ДОНОШЕЊЕ СРОДНОГ ДОКУМЕНТА, КАО И ОБАВЕШТЕЊЕ О СТАВЉАЊУ НАЦРТА </w:t>
            </w:r>
            <w:r>
              <w:rPr>
                <w:rFonts w:ascii="Times New Roman" w:hAnsi="Times New Roman" w:cs="Times New Roman"/>
                <w:sz w:val="20"/>
                <w:szCs w:val="20"/>
                <w:lang w:val="sr-Cyrl-RS"/>
              </w:rPr>
              <w:t xml:space="preserve">СРПСКОГ </w:t>
            </w:r>
            <w:r>
              <w:rPr>
                <w:rFonts w:ascii="Times New Roman" w:hAnsi="Times New Roman" w:cs="Times New Roman"/>
                <w:sz w:val="20"/>
                <w:szCs w:val="20"/>
                <w:lang w:val="en-GB"/>
              </w:rPr>
              <w:t xml:space="preserve">СТАНДАРДА ИЛИ СРОДНОГ ДОКУМЕНТА НА ЈАВНУ РАСПРАВУ, ИНСТИТУТ ОБЈАВЉУЈЕ У СВОМ ГЛАСИЛУ И ОБЕЗБЕЂУЈЕ СВИМ ЗАИНТЕРЕСОВАНИМ СТРАНАМА ПРИСТУП ТИМ НАЦРТИМА </w:t>
            </w:r>
            <w:r>
              <w:rPr>
                <w:rFonts w:ascii="Times New Roman" w:hAnsi="Times New Roman" w:cs="Times New Roman"/>
                <w:sz w:val="20"/>
                <w:szCs w:val="20"/>
                <w:lang w:val="sr-Cyrl-RS"/>
              </w:rPr>
              <w:t xml:space="preserve">СРПСКИХ </w:t>
            </w:r>
            <w:r>
              <w:rPr>
                <w:rFonts w:ascii="Times New Roman" w:hAnsi="Times New Roman" w:cs="Times New Roman"/>
                <w:sz w:val="20"/>
                <w:szCs w:val="20"/>
                <w:lang w:val="en-GB"/>
              </w:rPr>
              <w:t>СТАНДАРДА И СРОДНИХ ДОКУМЕНТА.</w:t>
            </w: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rFonts w:ascii="Times New Roman" w:hAnsi="Times New Roman"/>
                <w:b/>
                <w:sz w:val="20"/>
                <w:szCs w:val="20"/>
                <w:lang w:val="sr-Cyrl-CS" w:eastAsia="en-GB"/>
              </w:rPr>
            </w:pPr>
            <w:r>
              <w:rPr>
                <w:b/>
                <w:sz w:val="20"/>
                <w:szCs w:val="20"/>
                <w:lang w:val="sr-Cyrl-CS" w:eastAsia="en-GB"/>
              </w:rPr>
              <w:t>ПУ</w:t>
            </w:r>
          </w:p>
        </w:tc>
        <w:tc>
          <w:tcPr>
            <w:tcW w:w="2410" w:type="dxa"/>
            <w:gridSpan w:val="2"/>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Height w:val="1033"/>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4.4. b)</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sz w:val="20"/>
                <w:szCs w:val="20"/>
                <w:lang w:eastAsia="en-GB"/>
              </w:rPr>
              <w:t xml:space="preserve">allow other national standardisation bodies to be involved passively or actively, by sending an observer, in the planned activities. </w:t>
            </w:r>
          </w:p>
        </w:tc>
        <w:tc>
          <w:tcPr>
            <w:tcW w:w="993"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0.3</w:t>
            </w:r>
          </w:p>
          <w:p w:rsidR="0017553A" w:rsidRDefault="0017553A">
            <w:pPr>
              <w:spacing w:after="0"/>
              <w:rPr>
                <w:b/>
                <w:sz w:val="20"/>
                <w:szCs w:val="20"/>
                <w:lang w:val="sr-Cyrl-CS" w:eastAsia="en-GB"/>
              </w:rPr>
            </w:pPr>
            <w:r>
              <w:rPr>
                <w:b/>
                <w:sz w:val="20"/>
                <w:szCs w:val="20"/>
                <w:lang w:val="sr-Cyrl-CS" w:eastAsia="en-GB"/>
              </w:rPr>
              <w:t>31.1.</w:t>
            </w:r>
          </w:p>
        </w:tc>
        <w:tc>
          <w:tcPr>
            <w:tcW w:w="3827"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Институт, на захтев тела за стандардизацију из Прилога 1 - Национална тела за стандардизацију, који је одштампан уз ову уредбу и чини њен саставни део омогућава укључивање тих тела у активности Института повезане са припремом предмета из плана доношења стандарда из члана 29. ове уредбе.</w:t>
            </w: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ru-RU" w:eastAsia="en-GB"/>
              </w:rPr>
            </w:pPr>
            <w:r>
              <w:rPr>
                <w:b/>
                <w:sz w:val="20"/>
                <w:szCs w:val="20"/>
                <w:lang w:val="sr-Cyrl-CS" w:eastAsia="en-GB"/>
              </w:rPr>
              <w:t>ДУ</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iCs/>
                <w:sz w:val="20"/>
                <w:szCs w:val="20"/>
                <w:lang w:val="ru-RU" w:eastAsia="en-GB"/>
              </w:rPr>
            </w:pPr>
            <w:r>
              <w:rPr>
                <w:sz w:val="20"/>
                <w:szCs w:val="20"/>
                <w:lang w:val="sr-Cyrl-CS" w:eastAsia="en-GB"/>
              </w:rPr>
              <w:t>Образложење оцене: Потпуно усаглашавање са одредбом 4.4.б) Уредбе,</w:t>
            </w:r>
            <w:r>
              <w:rPr>
                <w:sz w:val="20"/>
                <w:szCs w:val="20"/>
                <w:lang w:val="sr-Latn-CS" w:eastAsia="en-GB"/>
              </w:rPr>
              <w:t xml:space="preserve"> </w:t>
            </w:r>
            <w:r>
              <w:rPr>
                <w:sz w:val="20"/>
                <w:szCs w:val="20"/>
                <w:lang w:val="sr-Cyrl-CS" w:eastAsia="en-GB"/>
              </w:rPr>
              <w:t xml:space="preserve">планирано је  изменама  </w:t>
            </w:r>
            <w:r>
              <w:rPr>
                <w:iCs/>
                <w:sz w:val="20"/>
                <w:szCs w:val="20"/>
                <w:lang w:val="sr-Cyrl-CS" w:eastAsia="en-GB"/>
              </w:rPr>
              <w:t xml:space="preserve"> Уредбе о </w:t>
            </w:r>
            <w:r>
              <w:rPr>
                <w:iCs/>
                <w:sz w:val="20"/>
                <w:szCs w:val="20"/>
                <w:lang w:val="ru-RU" w:eastAsia="en-GB"/>
              </w:rPr>
              <w:t xml:space="preserve"> поступку пријављивања и начину информисања који се односе на техничке прописе, оцењивање усаглашености и </w:t>
            </w:r>
            <w:r>
              <w:rPr>
                <w:iCs/>
                <w:sz w:val="20"/>
                <w:szCs w:val="20"/>
                <w:lang w:val="sr-Cyrl-CS" w:eastAsia="en-GB"/>
              </w:rPr>
              <w:t>с</w:t>
            </w:r>
            <w:r>
              <w:rPr>
                <w:iCs/>
                <w:sz w:val="20"/>
                <w:szCs w:val="20"/>
                <w:lang w:val="ru-RU" w:eastAsia="en-GB"/>
              </w:rPr>
              <w:t>тандарде</w:t>
            </w:r>
            <w:r>
              <w:rPr>
                <w:iCs/>
                <w:sz w:val="20"/>
                <w:szCs w:val="20"/>
                <w:lang w:val="sr-Cyrl-CS" w:eastAsia="en-GB"/>
              </w:rPr>
              <w:t xml:space="preserve">  </w:t>
            </w:r>
            <w:r>
              <w:rPr>
                <w:iCs/>
                <w:sz w:val="20"/>
                <w:szCs w:val="20"/>
                <w:lang w:val="ru-RU" w:eastAsia="en-GB"/>
              </w:rPr>
              <w:t>("Сл</w:t>
            </w:r>
            <w:r>
              <w:rPr>
                <w:iCs/>
                <w:sz w:val="20"/>
                <w:szCs w:val="20"/>
                <w:lang w:val="sr-Cyrl-CS" w:eastAsia="en-GB"/>
              </w:rPr>
              <w:t>ужбени</w:t>
            </w:r>
            <w:r>
              <w:rPr>
                <w:iCs/>
                <w:sz w:val="20"/>
                <w:szCs w:val="20"/>
                <w:lang w:val="ru-RU" w:eastAsia="en-GB"/>
              </w:rPr>
              <w:t xml:space="preserve"> </w:t>
            </w:r>
            <w:r>
              <w:rPr>
                <w:iCs/>
                <w:sz w:val="20"/>
                <w:szCs w:val="20"/>
                <w:lang w:val="ru-RU" w:eastAsia="en-GB"/>
              </w:rPr>
              <w:lastRenderedPageBreak/>
              <w:t>гласник РС", бр</w:t>
            </w:r>
            <w:r>
              <w:rPr>
                <w:iCs/>
                <w:sz w:val="20"/>
                <w:szCs w:val="20"/>
                <w:lang w:val="sr-Cyrl-CS" w:eastAsia="en-GB"/>
              </w:rPr>
              <w:t>ој</w:t>
            </w:r>
            <w:r>
              <w:rPr>
                <w:iCs/>
                <w:sz w:val="20"/>
                <w:szCs w:val="20"/>
                <w:lang w:val="ru-RU" w:eastAsia="en-GB"/>
              </w:rPr>
              <w:t xml:space="preserve"> 45/2010).</w:t>
            </w:r>
          </w:p>
          <w:p w:rsidR="0017553A" w:rsidRDefault="0017553A">
            <w:pPr>
              <w:spacing w:after="0"/>
              <w:rPr>
                <w:iCs/>
                <w:sz w:val="20"/>
                <w:szCs w:val="20"/>
                <w:lang w:val="ru-RU" w:eastAsia="en-GB"/>
              </w:rPr>
            </w:pPr>
            <w:r>
              <w:rPr>
                <w:b/>
                <w:iCs/>
                <w:sz w:val="20"/>
                <w:szCs w:val="20"/>
                <w:lang w:val="ru-RU" w:eastAsia="en-GB"/>
              </w:rPr>
              <w:t>Напомена:</w:t>
            </w:r>
            <w:r>
              <w:rPr>
                <w:iCs/>
                <w:sz w:val="20"/>
                <w:szCs w:val="20"/>
                <w:lang w:val="ru-RU" w:eastAsia="en-GB"/>
              </w:rPr>
              <w:t xml:space="preserve">  члан 44.  Уредбе прописује одложену примену наведене одредбе, од  дана приступања Републике Србије ЕУ.</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Height w:val="1033"/>
        </w:trPr>
        <w:tc>
          <w:tcPr>
            <w:tcW w:w="1371"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eastAsia="en-GB"/>
              </w:rPr>
            </w:pPr>
            <w:r>
              <w:rPr>
                <w:b/>
                <w:sz w:val="20"/>
                <w:szCs w:val="20"/>
                <w:lang w:eastAsia="en-GB"/>
              </w:rPr>
              <w:lastRenderedPageBreak/>
              <w:t>5.1.</w:t>
            </w:r>
          </w:p>
          <w:p w:rsidR="0017553A" w:rsidRDefault="0017553A">
            <w:pPr>
              <w:spacing w:after="0"/>
              <w:rPr>
                <w:b/>
                <w:sz w:val="20"/>
                <w:szCs w:val="20"/>
                <w:lang w:eastAsia="en-GB"/>
              </w:rPr>
            </w:pP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sz w:val="20"/>
                <w:szCs w:val="20"/>
                <w:lang w:eastAsia="en-GB"/>
              </w:rPr>
              <w:t xml:space="preserve">European standardisation organisations shall encourage and facilitate an appropriate representation and effective participation of all relevant stakeholders, including SMEs, consumer organisations and environmental and social stakeholders in their standardisation activities. They shall in particular encourage and facilitate such representation and participation through the European stakeholder organisations receiving Union financing in accordance with this Regulation at the policy development level and at the following stages of the development of European standards or European standardisation deliverables: </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 xml:space="preserve">Образложење оцене: </w:t>
            </w:r>
          </w:p>
          <w:p w:rsidR="0017553A" w:rsidRDefault="0017553A">
            <w:pPr>
              <w:spacing w:after="0"/>
              <w:rPr>
                <w:sz w:val="20"/>
                <w:szCs w:val="20"/>
                <w:lang w:val="sr-Cyrl-CS" w:eastAsia="en-GB"/>
              </w:rPr>
            </w:pPr>
            <w:r>
              <w:rPr>
                <w:sz w:val="20"/>
                <w:szCs w:val="20"/>
                <w:lang w:val="sr-Cyrl-CS" w:eastAsia="en-GB"/>
              </w:rPr>
              <w:t>Иако  ова одредба није преносива јер се односи на обавезе европских организација за стандардизацију, опредељење предлагача је да се усагласи поступање Института са правилима у ЕУ.</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Height w:val="702"/>
        </w:trPr>
        <w:tc>
          <w:tcPr>
            <w:tcW w:w="1371"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p w:rsidR="0017553A" w:rsidRDefault="0017553A">
            <w:pPr>
              <w:spacing w:after="0"/>
              <w:rPr>
                <w:b/>
                <w:sz w:val="20"/>
                <w:szCs w:val="20"/>
                <w:lang w:val="sr-Cyrl-CS" w:eastAsia="en-GB"/>
              </w:rPr>
            </w:pPr>
            <w:r>
              <w:rPr>
                <w:b/>
                <w:sz w:val="20"/>
                <w:szCs w:val="20"/>
                <w:lang w:eastAsia="en-GB"/>
              </w:rPr>
              <w:t xml:space="preserve">5.1.a) </w:t>
            </w:r>
          </w:p>
        </w:tc>
        <w:tc>
          <w:tcPr>
            <w:tcW w:w="4583" w:type="dxa"/>
            <w:gridSpan w:val="2"/>
            <w:tcBorders>
              <w:top w:val="single" w:sz="4" w:space="0" w:color="000000"/>
              <w:left w:val="single" w:sz="4" w:space="0" w:color="000000"/>
              <w:bottom w:val="single" w:sz="4" w:space="0" w:color="000000"/>
              <w:right w:val="single" w:sz="4" w:space="0" w:color="000000"/>
            </w:tcBorders>
          </w:tcPr>
          <w:p w:rsidR="0017553A" w:rsidRDefault="0017553A">
            <w:pPr>
              <w:rPr>
                <w:sz w:val="20"/>
                <w:szCs w:val="20"/>
                <w:highlight w:val="magenta"/>
                <w:lang w:val="en-GB" w:eastAsia="en-GB"/>
              </w:rPr>
            </w:pPr>
            <w:r>
              <w:rPr>
                <w:sz w:val="20"/>
                <w:szCs w:val="20"/>
                <w:lang w:eastAsia="en-GB"/>
              </w:rPr>
              <w:t>the proposal and acceptance of new work items;</w:t>
            </w:r>
          </w:p>
          <w:p w:rsidR="0017553A" w:rsidRDefault="0017553A">
            <w:pPr>
              <w:rPr>
                <w:sz w:val="20"/>
                <w:szCs w:val="20"/>
                <w:lang w:val="sr-Cyrl-CS"/>
              </w:rPr>
            </w:pP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 xml:space="preserve">Образложење оцене: </w:t>
            </w:r>
          </w:p>
          <w:p w:rsidR="0017553A" w:rsidRDefault="0017553A">
            <w:pPr>
              <w:spacing w:after="0"/>
              <w:rPr>
                <w:sz w:val="20"/>
                <w:szCs w:val="20"/>
                <w:lang w:val="sr-Cyrl-CS" w:eastAsia="en-GB"/>
              </w:rPr>
            </w:pPr>
            <w:r>
              <w:rPr>
                <w:sz w:val="20"/>
                <w:szCs w:val="20"/>
                <w:lang w:val="sr-Cyrl-CS" w:eastAsia="en-GB"/>
              </w:rPr>
              <w:t xml:space="preserve">Иако  ова одредба није преносива јер се односи на обавезе европских организација за стандардизацију, опредељење предлагача је да се усагласи </w:t>
            </w:r>
            <w:r>
              <w:rPr>
                <w:sz w:val="20"/>
                <w:szCs w:val="20"/>
                <w:lang w:val="sr-Cyrl-CS" w:eastAsia="en-GB"/>
              </w:rPr>
              <w:lastRenderedPageBreak/>
              <w:t xml:space="preserve">поступање Института са правилима у </w:t>
            </w:r>
          </w:p>
          <w:p w:rsidR="0017553A" w:rsidRDefault="0017553A">
            <w:pPr>
              <w:spacing w:after="0"/>
              <w:rPr>
                <w:sz w:val="20"/>
                <w:szCs w:val="20"/>
                <w:lang w:val="en-GB" w:eastAsia="en-GB"/>
              </w:rPr>
            </w:pPr>
            <w:r>
              <w:rPr>
                <w:sz w:val="20"/>
                <w:szCs w:val="20"/>
                <w:lang w:val="sr-Cyrl-CS" w:eastAsia="en-GB"/>
              </w:rPr>
              <w:t>ЕУ.</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Height w:val="656"/>
        </w:trPr>
        <w:tc>
          <w:tcPr>
            <w:tcW w:w="1371"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eastAsia="en-GB"/>
              </w:rPr>
              <w:lastRenderedPageBreak/>
              <w:t xml:space="preserve">5.1.b) </w:t>
            </w:r>
          </w:p>
          <w:p w:rsidR="0017553A" w:rsidRDefault="0017553A">
            <w:pPr>
              <w:spacing w:after="0"/>
              <w:rPr>
                <w:b/>
                <w:sz w:val="20"/>
                <w:szCs w:val="20"/>
                <w:lang w:val="en-GB" w:eastAsia="en-GB"/>
              </w:rPr>
            </w:pPr>
          </w:p>
        </w:tc>
        <w:tc>
          <w:tcPr>
            <w:tcW w:w="4583" w:type="dxa"/>
            <w:gridSpan w:val="2"/>
            <w:tcBorders>
              <w:top w:val="single" w:sz="4" w:space="0" w:color="000000"/>
              <w:left w:val="single" w:sz="4" w:space="0" w:color="000000"/>
              <w:bottom w:val="single" w:sz="4" w:space="0" w:color="000000"/>
              <w:right w:val="single" w:sz="4" w:space="0" w:color="000000"/>
            </w:tcBorders>
          </w:tcPr>
          <w:p w:rsidR="0017553A" w:rsidRDefault="0017553A">
            <w:pPr>
              <w:pStyle w:val="CM4"/>
              <w:jc w:val="both"/>
              <w:rPr>
                <w:rFonts w:ascii="Times New Roman" w:hAnsi="Times New Roman"/>
                <w:sz w:val="20"/>
                <w:szCs w:val="20"/>
                <w:lang w:eastAsia="en-GB"/>
              </w:rPr>
            </w:pPr>
            <w:r>
              <w:rPr>
                <w:rFonts w:ascii="Times New Roman" w:hAnsi="Times New Roman"/>
                <w:sz w:val="20"/>
                <w:szCs w:val="20"/>
                <w:lang w:eastAsia="en-GB"/>
              </w:rPr>
              <w:t xml:space="preserve">the technical discussion on proposals; </w:t>
            </w:r>
          </w:p>
          <w:p w:rsidR="0017553A" w:rsidRDefault="0017553A">
            <w:pPr>
              <w:rPr>
                <w:rFonts w:ascii="Times New Roman" w:hAnsi="Times New Roman"/>
                <w:sz w:val="20"/>
                <w:szCs w:val="20"/>
                <w:lang w:val="sr-Cyrl-CS"/>
              </w:rPr>
            </w:pP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 xml:space="preserve">Образложење оцене: </w:t>
            </w:r>
          </w:p>
          <w:p w:rsidR="0017553A" w:rsidRDefault="0017553A">
            <w:pPr>
              <w:spacing w:after="0"/>
              <w:rPr>
                <w:sz w:val="20"/>
                <w:szCs w:val="20"/>
                <w:lang w:val="en-GB" w:eastAsia="en-GB"/>
              </w:rPr>
            </w:pPr>
            <w:r>
              <w:rPr>
                <w:sz w:val="20"/>
                <w:szCs w:val="20"/>
                <w:lang w:val="sr-Cyrl-CS" w:eastAsia="en-GB"/>
              </w:rPr>
              <w:t>Иако  ова одредба није преносива јер се односи на обавезе европских организација за стандардизацију, опредељење предлагача је да се усагласи поступање Института са правилима у ЕУ.</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Height w:val="283"/>
        </w:trPr>
        <w:tc>
          <w:tcPr>
            <w:tcW w:w="1371"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eastAsia="en-GB"/>
              </w:rPr>
              <w:t xml:space="preserve">5.1.c) </w:t>
            </w:r>
          </w:p>
          <w:p w:rsidR="0017553A" w:rsidRDefault="0017553A">
            <w:pPr>
              <w:spacing w:after="0"/>
              <w:rPr>
                <w:b/>
                <w:sz w:val="20"/>
                <w:szCs w:val="20"/>
                <w:lang w:val="en-GB" w:eastAsia="en-GB"/>
              </w:rPr>
            </w:pPr>
          </w:p>
        </w:tc>
        <w:tc>
          <w:tcPr>
            <w:tcW w:w="4583" w:type="dxa"/>
            <w:gridSpan w:val="2"/>
            <w:tcBorders>
              <w:top w:val="single" w:sz="4" w:space="0" w:color="000000"/>
              <w:left w:val="single" w:sz="4" w:space="0" w:color="000000"/>
              <w:bottom w:val="single" w:sz="4" w:space="0" w:color="000000"/>
              <w:right w:val="single" w:sz="4" w:space="0" w:color="000000"/>
            </w:tcBorders>
          </w:tcPr>
          <w:p w:rsidR="0017553A" w:rsidRDefault="0017553A">
            <w:pPr>
              <w:pStyle w:val="CM4"/>
              <w:jc w:val="both"/>
              <w:rPr>
                <w:rFonts w:ascii="Times New Roman" w:hAnsi="Times New Roman"/>
                <w:sz w:val="20"/>
                <w:szCs w:val="20"/>
                <w:lang w:eastAsia="en-GB"/>
              </w:rPr>
            </w:pPr>
            <w:r>
              <w:rPr>
                <w:rFonts w:ascii="Times New Roman" w:hAnsi="Times New Roman"/>
                <w:sz w:val="20"/>
                <w:szCs w:val="20"/>
                <w:lang w:eastAsia="en-GB"/>
              </w:rPr>
              <w:t xml:space="preserve">the submission of comments on drafts; </w:t>
            </w:r>
          </w:p>
          <w:p w:rsidR="0017553A" w:rsidRDefault="0017553A">
            <w:pPr>
              <w:rPr>
                <w:rFonts w:ascii="Times New Roman" w:hAnsi="Times New Roman"/>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val="sr-Cyrl-CS" w:eastAsia="en-GB"/>
              </w:rPr>
              <w:t>НП</w:t>
            </w:r>
          </w:p>
          <w:p w:rsidR="0017553A" w:rsidRDefault="0017553A">
            <w:pPr>
              <w:spacing w:after="0"/>
              <w:rPr>
                <w:b/>
                <w:sz w:val="20"/>
                <w:szCs w:val="20"/>
                <w:highlight w:val="green"/>
                <w:lang w:val="sr-Cyrl-CS" w:eastAsia="en-GB"/>
              </w:rPr>
            </w:pPr>
          </w:p>
          <w:p w:rsidR="0017553A" w:rsidRDefault="0017553A">
            <w:pPr>
              <w:spacing w:after="0"/>
              <w:rPr>
                <w:b/>
                <w:sz w:val="20"/>
                <w:szCs w:val="20"/>
                <w:lang w:val="sr-Cyrl-CS" w:eastAsia="en-GB"/>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 xml:space="preserve">Образложење оцене: </w:t>
            </w:r>
          </w:p>
          <w:p w:rsidR="0017553A" w:rsidRDefault="0017553A">
            <w:pPr>
              <w:spacing w:after="0"/>
              <w:rPr>
                <w:sz w:val="20"/>
                <w:szCs w:val="20"/>
                <w:lang w:val="en-GB" w:eastAsia="en-GB"/>
              </w:rPr>
            </w:pPr>
            <w:r>
              <w:rPr>
                <w:sz w:val="20"/>
                <w:szCs w:val="20"/>
                <w:lang w:val="sr-Cyrl-CS" w:eastAsia="en-GB"/>
              </w:rPr>
              <w:t>Иако  ова одредба није преносива јер се односи на обавезе европских организација за стандардизацију, опредељење предлагача је да се усагласи поступање Института са правилима у ЕУ.</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Height w:val="2183"/>
        </w:trPr>
        <w:tc>
          <w:tcPr>
            <w:tcW w:w="1371"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eastAsia="en-GB"/>
              </w:rPr>
              <w:lastRenderedPageBreak/>
              <w:t xml:space="preserve">5.1.d) </w:t>
            </w: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rPr>
                <w:b/>
                <w:sz w:val="20"/>
                <w:szCs w:val="20"/>
                <w:lang w:val="sr-Cyrl-CS" w:eastAsia="en-GB"/>
              </w:rPr>
            </w:pPr>
          </w:p>
        </w:tc>
        <w:tc>
          <w:tcPr>
            <w:tcW w:w="4583" w:type="dxa"/>
            <w:gridSpan w:val="2"/>
            <w:tcBorders>
              <w:top w:val="single" w:sz="4" w:space="0" w:color="000000"/>
              <w:left w:val="single" w:sz="4" w:space="0" w:color="000000"/>
              <w:bottom w:val="single" w:sz="4" w:space="0" w:color="000000"/>
              <w:right w:val="single" w:sz="4" w:space="0" w:color="000000"/>
            </w:tcBorders>
          </w:tcPr>
          <w:p w:rsidR="0017553A" w:rsidRDefault="0017553A">
            <w:pPr>
              <w:rPr>
                <w:sz w:val="20"/>
                <w:szCs w:val="20"/>
                <w:lang w:val="sr-Cyrl-CS" w:eastAsia="en-GB"/>
              </w:rPr>
            </w:pPr>
            <w:r>
              <w:rPr>
                <w:sz w:val="20"/>
                <w:szCs w:val="20"/>
                <w:lang w:eastAsia="en-GB"/>
              </w:rPr>
              <w:t xml:space="preserve">the revision of existing European standards or European standardisation deliverables; </w:t>
            </w:r>
          </w:p>
          <w:p w:rsidR="0017553A" w:rsidRDefault="0017553A">
            <w:pPr>
              <w:rPr>
                <w:sz w:val="20"/>
                <w:szCs w:val="20"/>
                <w:lang w:val="sr-Cyrl-CS"/>
              </w:rPr>
            </w:pP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highlight w:val="magenta"/>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rPr>
                <w:sz w:val="20"/>
                <w:szCs w:val="20"/>
                <w:lang w:val="sr-Cyrl-CS"/>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 xml:space="preserve">Образложење оцене: </w:t>
            </w:r>
          </w:p>
          <w:p w:rsidR="0017553A" w:rsidRDefault="0017553A">
            <w:pPr>
              <w:spacing w:after="0"/>
              <w:rPr>
                <w:sz w:val="20"/>
                <w:szCs w:val="20"/>
                <w:lang w:val="sr-Cyrl-CS" w:eastAsia="en-GB"/>
              </w:rPr>
            </w:pPr>
            <w:r>
              <w:rPr>
                <w:sz w:val="20"/>
                <w:szCs w:val="20"/>
                <w:lang w:val="sr-Cyrl-CS" w:eastAsia="en-GB"/>
              </w:rPr>
              <w:t>Иако  ова одредба није преносива јер се односи на обавезе европских организација за стандардизацију, опредељење предлагача је да се усагласи поступање Института са правилима у ЕУ</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Height w:val="353"/>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eastAsia="en-GB"/>
              </w:rPr>
              <w:t>5.1.e)</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rPr>
            </w:pPr>
            <w:r>
              <w:rPr>
                <w:sz w:val="20"/>
                <w:szCs w:val="20"/>
                <w:lang w:eastAsia="en-GB"/>
              </w:rPr>
              <w:t>the dissemination of information of, and awareness-building about, adopted European standards or European standardisation deliverables.</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rPr>
                <w:sz w:val="20"/>
                <w:szCs w:val="20"/>
                <w:lang w:val="sr-Cyrl-CS"/>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 xml:space="preserve">Образложење оцене: </w:t>
            </w:r>
          </w:p>
          <w:p w:rsidR="0017553A" w:rsidRDefault="0017553A">
            <w:pPr>
              <w:spacing w:after="0"/>
              <w:rPr>
                <w:sz w:val="20"/>
                <w:szCs w:val="20"/>
                <w:lang w:val="sr-Cyrl-CS" w:eastAsia="en-GB"/>
              </w:rPr>
            </w:pPr>
            <w:r>
              <w:rPr>
                <w:sz w:val="20"/>
                <w:szCs w:val="20"/>
                <w:lang w:val="sr-Cyrl-CS" w:eastAsia="en-GB"/>
              </w:rPr>
              <w:t>Иако  ова одредба није преносива јер се односи на обавезе европских организација за стандардизацију, опредељење предлагача је да се усагласи поступање Института са правилима у ЕУ</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Height w:val="353"/>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eastAsia="en-GB"/>
              </w:rPr>
              <w:t>5.2.</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en-GB" w:eastAsia="en-GB"/>
              </w:rPr>
            </w:pPr>
            <w:r>
              <w:rPr>
                <w:sz w:val="20"/>
                <w:szCs w:val="20"/>
                <w:lang w:eastAsia="en-GB"/>
              </w:rPr>
              <w:t>In addition to the collaboration with market surveillance</w:t>
            </w:r>
            <w:r>
              <w:rPr>
                <w:sz w:val="20"/>
                <w:szCs w:val="20"/>
                <w:lang w:val="sr-Cyrl-CS" w:eastAsia="en-GB"/>
              </w:rPr>
              <w:t xml:space="preserve"> </w:t>
            </w:r>
            <w:r>
              <w:rPr>
                <w:sz w:val="20"/>
                <w:szCs w:val="20"/>
                <w:lang w:eastAsia="en-GB"/>
              </w:rPr>
              <w:t>authorities in the Member States, research facilities of the</w:t>
            </w:r>
          </w:p>
          <w:p w:rsidR="0017553A" w:rsidRDefault="0017553A">
            <w:pPr>
              <w:spacing w:after="0"/>
              <w:rPr>
                <w:sz w:val="20"/>
                <w:szCs w:val="20"/>
                <w:lang w:val="sr-Cyrl-CS"/>
              </w:rPr>
            </w:pPr>
            <w:r>
              <w:rPr>
                <w:sz w:val="20"/>
                <w:szCs w:val="20"/>
                <w:lang w:eastAsia="en-GB"/>
              </w:rPr>
              <w:t>Commission and the European stakeholder organisations</w:t>
            </w:r>
            <w:r>
              <w:rPr>
                <w:sz w:val="20"/>
                <w:szCs w:val="20"/>
                <w:lang w:val="sr-Cyrl-CS" w:eastAsia="en-GB"/>
              </w:rPr>
              <w:t xml:space="preserve"> </w:t>
            </w:r>
            <w:r>
              <w:rPr>
                <w:sz w:val="20"/>
                <w:szCs w:val="20"/>
                <w:lang w:eastAsia="en-GB"/>
              </w:rPr>
              <w:t>receiving Union financing in accordance with this Regulation,</w:t>
            </w:r>
            <w:r>
              <w:rPr>
                <w:sz w:val="20"/>
                <w:szCs w:val="20"/>
                <w:lang w:val="sr-Cyrl-CS" w:eastAsia="en-GB"/>
              </w:rPr>
              <w:t xml:space="preserve"> </w:t>
            </w:r>
            <w:r>
              <w:rPr>
                <w:sz w:val="20"/>
                <w:szCs w:val="20"/>
                <w:lang w:eastAsia="en-GB"/>
              </w:rPr>
              <w:t>European standardisation organisations shall encourage and facilitate appropriate representation, at technical level, of under</w:t>
            </w:r>
            <w:r>
              <w:rPr>
                <w:sz w:val="20"/>
                <w:szCs w:val="20"/>
                <w:lang w:eastAsia="en-GB"/>
              </w:rPr>
              <w:softHyphen/>
              <w:t xml:space="preserve">takings, research centres, universities and </w:t>
            </w:r>
            <w:r>
              <w:rPr>
                <w:sz w:val="20"/>
                <w:szCs w:val="20"/>
                <w:lang w:eastAsia="en-GB"/>
              </w:rPr>
              <w:lastRenderedPageBreak/>
              <w:t>other legal entities, in</w:t>
            </w:r>
            <w:r>
              <w:rPr>
                <w:sz w:val="20"/>
                <w:szCs w:val="20"/>
                <w:lang w:val="sr-Cyrl-CS" w:eastAsia="en-GB"/>
              </w:rPr>
              <w:t xml:space="preserve"> </w:t>
            </w:r>
            <w:r>
              <w:rPr>
                <w:sz w:val="20"/>
                <w:szCs w:val="20"/>
                <w:lang w:eastAsia="en-GB"/>
              </w:rPr>
              <w:t>standardisation activities concerning an emerging area with significant policy or technical innovation implications, if the</w:t>
            </w:r>
            <w:r>
              <w:rPr>
                <w:sz w:val="20"/>
                <w:szCs w:val="20"/>
                <w:lang w:val="sr-Cyrl-CS" w:eastAsia="en-GB"/>
              </w:rPr>
              <w:t xml:space="preserve"> </w:t>
            </w:r>
            <w:r>
              <w:rPr>
                <w:sz w:val="20"/>
                <w:szCs w:val="20"/>
                <w:lang w:eastAsia="en-GB"/>
              </w:rPr>
              <w:t>legal entities concerned participated in a project that is related</w:t>
            </w:r>
            <w:r>
              <w:rPr>
                <w:sz w:val="20"/>
                <w:szCs w:val="20"/>
                <w:lang w:val="sr-Cyrl-CS" w:eastAsia="en-GB"/>
              </w:rPr>
              <w:t xml:space="preserve"> </w:t>
            </w:r>
            <w:r>
              <w:rPr>
                <w:sz w:val="20"/>
                <w:szCs w:val="20"/>
                <w:lang w:eastAsia="en-GB"/>
              </w:rPr>
              <w:t>to that area and that is funded by the Union under a multi</w:t>
            </w:r>
            <w:r>
              <w:rPr>
                <w:sz w:val="20"/>
                <w:szCs w:val="20"/>
                <w:lang w:eastAsia="en-GB"/>
              </w:rPr>
              <w:softHyphen/>
              <w:t>annual framework programme for activities in the area of</w:t>
            </w:r>
            <w:r>
              <w:rPr>
                <w:sz w:val="20"/>
                <w:szCs w:val="20"/>
                <w:lang w:val="sr-Cyrl-CS" w:eastAsia="en-GB"/>
              </w:rPr>
              <w:t xml:space="preserve"> </w:t>
            </w:r>
            <w:r>
              <w:rPr>
                <w:sz w:val="20"/>
                <w:szCs w:val="20"/>
                <w:lang w:eastAsia="en-GB"/>
              </w:rPr>
              <w:t>research, innovation and technological development, adopted pursuant to Article 182 TFEU</w:t>
            </w:r>
            <w:r>
              <w:rPr>
                <w:sz w:val="20"/>
                <w:szCs w:val="20"/>
                <w:lang w:val="sr-Cyrl-CS" w:eastAsia="en-GB"/>
              </w:rPr>
              <w:t>.</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rPr>
                <w:sz w:val="20"/>
                <w:szCs w:val="20"/>
                <w:lang w:val="sr-Cyrl-CS"/>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 xml:space="preserve">Образложење оцене: </w:t>
            </w:r>
          </w:p>
          <w:p w:rsidR="0017553A" w:rsidRDefault="0017553A">
            <w:pPr>
              <w:spacing w:after="0"/>
              <w:rPr>
                <w:sz w:val="20"/>
                <w:szCs w:val="20"/>
                <w:highlight w:val="green"/>
                <w:lang w:val="sr-Cyrl-CS" w:eastAsia="en-GB"/>
              </w:rPr>
            </w:pPr>
            <w:r>
              <w:rPr>
                <w:sz w:val="20"/>
                <w:szCs w:val="20"/>
                <w:lang w:val="sr-Cyrl-CS" w:eastAsia="en-GB"/>
              </w:rPr>
              <w:t xml:space="preserve">У  национално законодавство није  пренета одредба </w:t>
            </w:r>
            <w:r>
              <w:rPr>
                <w:sz w:val="20"/>
                <w:szCs w:val="20"/>
                <w:lang w:eastAsia="en-GB"/>
              </w:rPr>
              <w:t>5.2.</w:t>
            </w:r>
            <w:r>
              <w:rPr>
                <w:sz w:val="20"/>
                <w:szCs w:val="20"/>
                <w:lang w:val="sr-Cyrl-CS" w:eastAsia="en-GB"/>
              </w:rPr>
              <w:t xml:space="preserve"> Уредбе, јер прописује</w:t>
            </w:r>
            <w:r>
              <w:rPr>
                <w:sz w:val="20"/>
                <w:szCs w:val="20"/>
                <w:lang w:val="sr-Latn-CS" w:eastAsia="en-GB"/>
              </w:rPr>
              <w:t xml:space="preserve"> </w:t>
            </w:r>
            <w:r>
              <w:rPr>
                <w:sz w:val="20"/>
                <w:szCs w:val="20"/>
                <w:lang w:val="sr-Cyrl-CS" w:eastAsia="en-GB"/>
              </w:rPr>
              <w:t xml:space="preserve">обавезе европских организација за стандардизацију. </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Height w:val="419"/>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lastRenderedPageBreak/>
              <w:t>6.1.</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b/>
                <w:sz w:val="20"/>
                <w:szCs w:val="20"/>
                <w:lang w:val="sr-Cyrl-CS" w:eastAsia="en-GB"/>
              </w:rPr>
            </w:pPr>
            <w:r>
              <w:rPr>
                <w:sz w:val="20"/>
                <w:szCs w:val="20"/>
                <w:lang w:eastAsia="en-GB"/>
              </w:rPr>
              <w:t>National standardisation bodies shall encourage and facilitate the access of SMEs to standards and standards development processes in order to reach a higher level of participation in the standardisation system, for instance by:</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val="sr-Cyrl-CS" w:eastAsia="en-GB"/>
              </w:rPr>
              <w:t>0.1.</w:t>
            </w:r>
          </w:p>
          <w:p w:rsidR="0017553A" w:rsidRDefault="0017553A">
            <w:pPr>
              <w:spacing w:after="0"/>
              <w:rPr>
                <w:b/>
                <w:sz w:val="20"/>
                <w:szCs w:val="20"/>
                <w:lang w:val="sr-Cyrl-CS" w:eastAsia="en-GB"/>
              </w:rPr>
            </w:pPr>
            <w:r>
              <w:rPr>
                <w:b/>
                <w:sz w:val="20"/>
                <w:szCs w:val="20"/>
                <w:lang w:val="sr-Cyrl-CS" w:eastAsia="en-GB"/>
              </w:rPr>
              <w:t xml:space="preserve">12.8. </w:t>
            </w: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eastAsia="en-GB"/>
              </w:rPr>
            </w:pPr>
          </w:p>
          <w:p w:rsidR="0017553A" w:rsidRDefault="0017553A">
            <w:pPr>
              <w:spacing w:after="0"/>
              <w:rPr>
                <w:b/>
                <w:sz w:val="20"/>
                <w:szCs w:val="20"/>
                <w:lang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r>
              <w:rPr>
                <w:b/>
                <w:sz w:val="20"/>
                <w:szCs w:val="20"/>
                <w:lang w:val="sr-Cyrl-CS" w:eastAsia="en-GB"/>
              </w:rPr>
              <w:t>0.1.</w:t>
            </w:r>
          </w:p>
          <w:p w:rsidR="0017553A" w:rsidRDefault="0017553A">
            <w:pPr>
              <w:spacing w:after="0"/>
              <w:rPr>
                <w:b/>
                <w:sz w:val="20"/>
                <w:szCs w:val="20"/>
                <w:lang w:val="sr-Cyrl-CS" w:eastAsia="en-GB"/>
              </w:rPr>
            </w:pPr>
            <w:r>
              <w:rPr>
                <w:b/>
                <w:sz w:val="20"/>
                <w:szCs w:val="20"/>
                <w:lang w:val="sr-Cyrl-CS" w:eastAsia="en-GB"/>
              </w:rPr>
              <w:t xml:space="preserve">12.9. </w:t>
            </w:r>
          </w:p>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autoSpaceDE w:val="0"/>
              <w:autoSpaceDN w:val="0"/>
              <w:adjustRightInd w:val="0"/>
              <w:rPr>
                <w:sz w:val="20"/>
                <w:szCs w:val="20"/>
                <w:lang w:val="en-GB"/>
              </w:rPr>
            </w:pPr>
            <w:r>
              <w:rPr>
                <w:sz w:val="20"/>
                <w:szCs w:val="20"/>
              </w:rPr>
              <w:t>ИНСТИТУТ ОМОГУЋАВА УЧЕШЋЕ СВИМ ЗАИНТЕРЕСОВАНИМ СТРАНАМА</w:t>
            </w:r>
            <w:r>
              <w:rPr>
                <w:sz w:val="20"/>
                <w:szCs w:val="20"/>
                <w:lang w:val="sr-Cyrl-RS"/>
              </w:rPr>
              <w:t xml:space="preserve"> У ПОСТУПКУ </w:t>
            </w:r>
            <w:r>
              <w:rPr>
                <w:sz w:val="20"/>
                <w:szCs w:val="20"/>
              </w:rPr>
              <w:t xml:space="preserve"> ДОНОШЕЊ</w:t>
            </w:r>
            <w:r>
              <w:rPr>
                <w:sz w:val="20"/>
                <w:szCs w:val="20"/>
                <w:lang w:val="sr-Cyrl-RS"/>
              </w:rPr>
              <w:t>А</w:t>
            </w:r>
            <w:r>
              <w:rPr>
                <w:sz w:val="20"/>
                <w:szCs w:val="20"/>
              </w:rPr>
              <w:t xml:space="preserve"> </w:t>
            </w:r>
            <w:r>
              <w:rPr>
                <w:sz w:val="20"/>
                <w:szCs w:val="20"/>
                <w:lang w:val="sr-Cyrl-RS"/>
              </w:rPr>
              <w:t xml:space="preserve">СРПСКИХ </w:t>
            </w:r>
            <w:r>
              <w:rPr>
                <w:sz w:val="20"/>
                <w:szCs w:val="20"/>
              </w:rPr>
              <w:t>СТАНДАРДА И СРОДНИХ ДОКУМЕНАТА</w:t>
            </w:r>
            <w:r>
              <w:rPr>
                <w:sz w:val="20"/>
                <w:szCs w:val="20"/>
                <w:lang w:val="sr-Cyrl-RS"/>
              </w:rPr>
              <w:t>, КАО И ПРИСТУП ДОНЕТИМ СРПСКИМ СТАНДАРДИМА И СРОДНИМ ДОКУМЕНТИМА</w:t>
            </w:r>
            <w:r>
              <w:rPr>
                <w:sz w:val="20"/>
                <w:szCs w:val="20"/>
              </w:rPr>
              <w:t>.</w:t>
            </w:r>
          </w:p>
          <w:p w:rsidR="0017553A" w:rsidRDefault="0017553A">
            <w:pPr>
              <w:autoSpaceDE w:val="0"/>
              <w:autoSpaceDN w:val="0"/>
              <w:adjustRightInd w:val="0"/>
              <w:spacing w:after="0"/>
              <w:rPr>
                <w:sz w:val="20"/>
                <w:szCs w:val="20"/>
              </w:rPr>
            </w:pPr>
          </w:p>
          <w:p w:rsidR="0017553A" w:rsidRDefault="0017553A">
            <w:pPr>
              <w:autoSpaceDE w:val="0"/>
              <w:autoSpaceDN w:val="0"/>
              <w:adjustRightInd w:val="0"/>
              <w:spacing w:after="0"/>
              <w:rPr>
                <w:sz w:val="20"/>
                <w:szCs w:val="20"/>
              </w:rPr>
            </w:pPr>
            <w:r>
              <w:rPr>
                <w:sz w:val="20"/>
                <w:szCs w:val="20"/>
              </w:rPr>
              <w:t xml:space="preserve">НАЧИН УЧЕШЋА СВИХ ЗАИНТЕРЕСОВАНИХ СТРАНА У </w:t>
            </w:r>
            <w:r>
              <w:rPr>
                <w:sz w:val="20"/>
                <w:szCs w:val="20"/>
                <w:lang w:val="sr-Cyrl-RS"/>
              </w:rPr>
              <w:t>ПОСТУПКУ</w:t>
            </w:r>
            <w:r>
              <w:rPr>
                <w:sz w:val="20"/>
                <w:szCs w:val="20"/>
              </w:rPr>
              <w:t xml:space="preserve"> ДОНОШЕЊ</w:t>
            </w:r>
            <w:r>
              <w:rPr>
                <w:sz w:val="20"/>
                <w:szCs w:val="20"/>
                <w:lang w:val="sr-Cyrl-RS"/>
              </w:rPr>
              <w:t>А</w:t>
            </w:r>
            <w:r>
              <w:rPr>
                <w:sz w:val="20"/>
                <w:szCs w:val="20"/>
              </w:rPr>
              <w:t xml:space="preserve"> </w:t>
            </w:r>
            <w:r>
              <w:rPr>
                <w:sz w:val="20"/>
                <w:szCs w:val="20"/>
                <w:lang w:val="sr-Cyrl-RS"/>
              </w:rPr>
              <w:t xml:space="preserve">СРПСКИХ </w:t>
            </w:r>
            <w:r>
              <w:rPr>
                <w:sz w:val="20"/>
                <w:szCs w:val="20"/>
              </w:rPr>
              <w:t>СТАНДАРДА И СРОДНИХ ДОКУМЕНАТА</w:t>
            </w:r>
            <w:r>
              <w:rPr>
                <w:sz w:val="20"/>
                <w:szCs w:val="20"/>
                <w:lang w:val="sr-Cyrl-RS"/>
              </w:rPr>
              <w:t xml:space="preserve"> И ПРИСТУП ДОНЕТИМ СРПСКИМ СТАНДАРДИМА И СРОДНИМ ДОКУМЕНТИМА</w:t>
            </w:r>
            <w:r>
              <w:rPr>
                <w:sz w:val="20"/>
                <w:szCs w:val="20"/>
              </w:rPr>
              <w:t>, КАО И</w:t>
            </w:r>
            <w:r>
              <w:rPr>
                <w:sz w:val="20"/>
                <w:szCs w:val="20"/>
                <w:lang w:val="sr-Cyrl-RS"/>
              </w:rPr>
              <w:t xml:space="preserve"> ПОДСТИЦАЈИ И ОЛАКШИЦЕ </w:t>
            </w:r>
            <w:r>
              <w:rPr>
                <w:sz w:val="20"/>
                <w:szCs w:val="20"/>
                <w:lang w:val="sr-Cyrl-CS"/>
              </w:rPr>
              <w:t>ЗА</w:t>
            </w:r>
            <w:r>
              <w:rPr>
                <w:sz w:val="20"/>
                <w:szCs w:val="20"/>
                <w:lang w:val="sr-Cyrl-RS"/>
              </w:rPr>
              <w:t xml:space="preserve"> </w:t>
            </w:r>
            <w:r>
              <w:rPr>
                <w:sz w:val="20"/>
                <w:szCs w:val="20"/>
              </w:rPr>
              <w:t>МАЛ</w:t>
            </w:r>
            <w:r>
              <w:rPr>
                <w:sz w:val="20"/>
                <w:szCs w:val="20"/>
                <w:lang w:val="sr-Cyrl-CS"/>
              </w:rPr>
              <w:t>А</w:t>
            </w:r>
            <w:r>
              <w:rPr>
                <w:sz w:val="20"/>
                <w:szCs w:val="20"/>
              </w:rPr>
              <w:t xml:space="preserve"> И СРЕДЊ</w:t>
            </w:r>
            <w:r>
              <w:rPr>
                <w:sz w:val="20"/>
                <w:szCs w:val="20"/>
                <w:lang w:val="sr-Cyrl-CS"/>
              </w:rPr>
              <w:t>А</w:t>
            </w:r>
            <w:r>
              <w:rPr>
                <w:sz w:val="20"/>
                <w:szCs w:val="20"/>
              </w:rPr>
              <w:t xml:space="preserve"> ПРИВРЕДН</w:t>
            </w:r>
            <w:r>
              <w:rPr>
                <w:sz w:val="20"/>
                <w:szCs w:val="20"/>
                <w:lang w:val="sr-Cyrl-CS"/>
              </w:rPr>
              <w:t>А</w:t>
            </w:r>
            <w:r>
              <w:rPr>
                <w:sz w:val="20"/>
                <w:szCs w:val="20"/>
              </w:rPr>
              <w:t xml:space="preserve"> ДРУШТВ</w:t>
            </w:r>
            <w:r>
              <w:rPr>
                <w:sz w:val="20"/>
                <w:szCs w:val="20"/>
                <w:lang w:val="sr-Cyrl-RS"/>
              </w:rPr>
              <w:t xml:space="preserve">А </w:t>
            </w:r>
            <w:r>
              <w:rPr>
                <w:sz w:val="20"/>
                <w:szCs w:val="20"/>
              </w:rPr>
              <w:t>И ПРЕДУЗЕТНИ</w:t>
            </w:r>
            <w:r>
              <w:rPr>
                <w:sz w:val="20"/>
                <w:szCs w:val="20"/>
                <w:lang w:val="sr-Cyrl-RS"/>
              </w:rPr>
              <w:t>К</w:t>
            </w:r>
            <w:r>
              <w:rPr>
                <w:sz w:val="20"/>
                <w:szCs w:val="20"/>
                <w:lang w:val="sr-Cyrl-CS"/>
              </w:rPr>
              <w:t>Е</w:t>
            </w:r>
            <w:r>
              <w:rPr>
                <w:sz w:val="20"/>
                <w:szCs w:val="20"/>
              </w:rPr>
              <w:t>, УДРУЖЕЊ</w:t>
            </w:r>
            <w:r>
              <w:rPr>
                <w:sz w:val="20"/>
                <w:szCs w:val="20"/>
                <w:lang w:val="sr-Cyrl-RS"/>
              </w:rPr>
              <w:t>А</w:t>
            </w:r>
            <w:r>
              <w:rPr>
                <w:sz w:val="20"/>
                <w:szCs w:val="20"/>
              </w:rPr>
              <w:t xml:space="preserve"> ПОТРОШАЧА</w:t>
            </w:r>
            <w:r>
              <w:rPr>
                <w:sz w:val="20"/>
                <w:szCs w:val="20"/>
                <w:lang w:val="sr-Cyrl-RS"/>
              </w:rPr>
              <w:t xml:space="preserve"> И</w:t>
            </w:r>
            <w:r>
              <w:rPr>
                <w:sz w:val="20"/>
                <w:szCs w:val="20"/>
              </w:rPr>
              <w:t xml:space="preserve"> НЕВЛАДИН</w:t>
            </w:r>
            <w:r>
              <w:rPr>
                <w:sz w:val="20"/>
                <w:szCs w:val="20"/>
                <w:lang w:val="sr-Cyrl-CS"/>
              </w:rPr>
              <w:t>Е</w:t>
            </w:r>
            <w:r>
              <w:rPr>
                <w:sz w:val="20"/>
                <w:szCs w:val="20"/>
              </w:rPr>
              <w:t xml:space="preserve"> ОРГАНИЗАЦИЈ</w:t>
            </w:r>
            <w:r>
              <w:rPr>
                <w:sz w:val="20"/>
                <w:szCs w:val="20"/>
                <w:lang w:val="sr-Cyrl-CS"/>
              </w:rPr>
              <w:t xml:space="preserve">Е, </w:t>
            </w:r>
            <w:r>
              <w:rPr>
                <w:sz w:val="20"/>
                <w:szCs w:val="20"/>
              </w:rPr>
              <w:t xml:space="preserve">БЛИЖЕ СЕ УРЕЂУЈЕ </w:t>
            </w:r>
            <w:r>
              <w:rPr>
                <w:sz w:val="20"/>
                <w:szCs w:val="20"/>
                <w:lang w:val="sr-Cyrl-CS"/>
              </w:rPr>
              <w:t>ОПШТИМ</w:t>
            </w:r>
            <w:r>
              <w:rPr>
                <w:sz w:val="20"/>
                <w:szCs w:val="20"/>
              </w:rPr>
              <w:t xml:space="preserve"> АКТОМ ИНСТИТУТА.</w:t>
            </w: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ПУ</w:t>
            </w:r>
          </w:p>
        </w:tc>
        <w:tc>
          <w:tcPr>
            <w:tcW w:w="2410" w:type="dxa"/>
            <w:gridSpan w:val="2"/>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p w:rsidR="0017553A" w:rsidRDefault="0017553A">
            <w:pPr>
              <w:rPr>
                <w:sz w:val="20"/>
                <w:szCs w:val="20"/>
                <w:lang w:val="sr-Cyrl-CS" w:eastAsia="en-GB"/>
              </w:rPr>
            </w:pPr>
          </w:p>
          <w:p w:rsidR="0017553A" w:rsidRDefault="0017553A">
            <w:pPr>
              <w:rPr>
                <w:sz w:val="20"/>
                <w:szCs w:val="20"/>
                <w:lang w:val="sr-Cyrl-CS" w:eastAsia="en-GB"/>
              </w:rPr>
            </w:pPr>
          </w:p>
        </w:tc>
      </w:tr>
      <w:tr w:rsidR="0017553A" w:rsidTr="0017553A">
        <w:trPr>
          <w:gridBefore w:val="1"/>
          <w:wBefore w:w="259" w:type="dxa"/>
          <w:trHeight w:val="277"/>
        </w:trPr>
        <w:tc>
          <w:tcPr>
            <w:tcW w:w="1371"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eastAsia="en-GB"/>
              </w:rPr>
              <w:lastRenderedPageBreak/>
              <w:t xml:space="preserve">6.1.a) </w:t>
            </w:r>
          </w:p>
          <w:p w:rsidR="0017553A" w:rsidRDefault="0017553A">
            <w:pPr>
              <w:spacing w:after="0"/>
              <w:rPr>
                <w:b/>
                <w:sz w:val="20"/>
                <w:szCs w:val="20"/>
                <w:lang w:val="en-GB" w:eastAsia="en-GB"/>
              </w:rPr>
            </w:pP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rPr>
            </w:pPr>
            <w:r>
              <w:rPr>
                <w:sz w:val="20"/>
                <w:szCs w:val="20"/>
                <w:lang w:eastAsia="en-GB"/>
              </w:rPr>
              <w:t>(a) identifying, in their annual work programmes, the standardisation projects, which are of particular interests to SMEs;</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autoSpaceDE w:val="0"/>
              <w:autoSpaceDN w:val="0"/>
              <w:adjustRightInd w:val="0"/>
              <w:spacing w:after="0"/>
              <w:rPr>
                <w:sz w:val="20"/>
                <w:szCs w:val="20"/>
                <w:lang w:val="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НУ</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Образложење оцене:</w:t>
            </w:r>
          </w:p>
          <w:p w:rsidR="0017553A" w:rsidRDefault="0017553A">
            <w:pPr>
              <w:spacing w:after="0"/>
              <w:rPr>
                <w:sz w:val="20"/>
                <w:szCs w:val="20"/>
                <w:lang w:val="sr-Cyrl-CS" w:eastAsia="en-GB"/>
              </w:rPr>
            </w:pPr>
            <w:r>
              <w:rPr>
                <w:sz w:val="20"/>
                <w:szCs w:val="20"/>
                <w:lang w:val="sr-Cyrl-CS" w:eastAsia="en-GB"/>
              </w:rPr>
              <w:t>У национално законодавство није  пренета одредба 6.1.а) Уредбе, а</w:t>
            </w:r>
            <w:r>
              <w:rPr>
                <w:sz w:val="20"/>
                <w:szCs w:val="20"/>
                <w:lang w:val="sr-Latn-CS" w:eastAsia="en-GB"/>
              </w:rPr>
              <w:t xml:space="preserve"> </w:t>
            </w:r>
            <w:r>
              <w:rPr>
                <w:sz w:val="20"/>
                <w:szCs w:val="20"/>
                <w:lang w:val="sr-Cyrl-CS" w:eastAsia="en-GB"/>
              </w:rPr>
              <w:t xml:space="preserve"> обавезе које произлазе из ове одредбе биће  преузете општим актом  Института </w:t>
            </w:r>
            <w:r>
              <w:rPr>
                <w:sz w:val="20"/>
                <w:szCs w:val="20"/>
                <w:lang w:eastAsia="en-GB"/>
              </w:rPr>
              <w:t>.</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Height w:val="277"/>
        </w:trPr>
        <w:tc>
          <w:tcPr>
            <w:tcW w:w="1371"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eastAsia="en-GB"/>
              </w:rPr>
              <w:t xml:space="preserve">6.1.b) </w:t>
            </w:r>
          </w:p>
          <w:p w:rsidR="0017553A" w:rsidRDefault="0017553A">
            <w:pPr>
              <w:spacing w:after="0"/>
              <w:rPr>
                <w:b/>
                <w:sz w:val="20"/>
                <w:szCs w:val="20"/>
                <w:lang w:val="en-GB" w:eastAsia="en-GB"/>
              </w:rPr>
            </w:pPr>
          </w:p>
        </w:tc>
        <w:tc>
          <w:tcPr>
            <w:tcW w:w="4583" w:type="dxa"/>
            <w:gridSpan w:val="2"/>
            <w:tcBorders>
              <w:top w:val="single" w:sz="4" w:space="0" w:color="000000"/>
              <w:left w:val="single" w:sz="4" w:space="0" w:color="000000"/>
              <w:bottom w:val="single" w:sz="4" w:space="0" w:color="000000"/>
              <w:right w:val="single" w:sz="4" w:space="0" w:color="000000"/>
            </w:tcBorders>
          </w:tcPr>
          <w:p w:rsidR="0017553A" w:rsidRDefault="0017553A">
            <w:pPr>
              <w:pStyle w:val="CM4"/>
              <w:rPr>
                <w:rFonts w:ascii="Times New Roman" w:hAnsi="Times New Roman"/>
                <w:sz w:val="20"/>
                <w:szCs w:val="20"/>
                <w:lang w:val="sr-Cyrl-CS" w:eastAsia="en-GB"/>
              </w:rPr>
            </w:pPr>
            <w:r>
              <w:rPr>
                <w:rFonts w:ascii="Times New Roman" w:hAnsi="Times New Roman"/>
                <w:sz w:val="20"/>
                <w:szCs w:val="20"/>
                <w:lang w:eastAsia="en-GB"/>
              </w:rPr>
              <w:t>b) giving access to standardisation activities without obliging SMEs to become a member of a national standardisation body;</w:t>
            </w:r>
          </w:p>
          <w:p w:rsidR="0017553A" w:rsidRDefault="0017553A">
            <w:pPr>
              <w:rPr>
                <w:rFonts w:ascii="Times New Roman" w:hAnsi="Times New Roman"/>
                <w:sz w:val="20"/>
                <w:szCs w:val="20"/>
                <w:lang w:val="sr-Cyrl-CS" w:eastAsia="en-GB"/>
              </w:rPr>
            </w:pPr>
          </w:p>
          <w:p w:rsidR="0017553A" w:rsidRDefault="0017553A">
            <w:pPr>
              <w:rPr>
                <w:sz w:val="20"/>
                <w:szCs w:val="20"/>
                <w:lang w:val="sr-Cyrl-CS"/>
              </w:rPr>
            </w:pP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val="sr-Cyrl-CS" w:eastAsia="en-GB"/>
              </w:rPr>
              <w:t>0.1.</w:t>
            </w:r>
          </w:p>
          <w:p w:rsidR="0017553A" w:rsidRDefault="0017553A">
            <w:pPr>
              <w:spacing w:after="0"/>
              <w:rPr>
                <w:b/>
                <w:sz w:val="20"/>
                <w:szCs w:val="20"/>
                <w:lang w:val="sr-Cyrl-CS" w:eastAsia="en-GB"/>
              </w:rPr>
            </w:pPr>
            <w:r>
              <w:rPr>
                <w:b/>
                <w:sz w:val="20"/>
                <w:szCs w:val="20"/>
                <w:lang w:val="sr-Cyrl-CS" w:eastAsia="en-GB"/>
              </w:rPr>
              <w:t xml:space="preserve">12.8. </w:t>
            </w: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eastAsia="en-GB"/>
              </w:rPr>
            </w:pPr>
          </w:p>
          <w:p w:rsidR="0017553A" w:rsidRDefault="0017553A">
            <w:pPr>
              <w:spacing w:after="0"/>
              <w:rPr>
                <w:b/>
                <w:sz w:val="20"/>
                <w:szCs w:val="20"/>
                <w:lang w:eastAsia="en-GB"/>
              </w:rPr>
            </w:pPr>
          </w:p>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hideMark/>
          </w:tcPr>
          <w:p w:rsidR="0017553A" w:rsidRDefault="0017553A">
            <w:pPr>
              <w:autoSpaceDE w:val="0"/>
              <w:autoSpaceDN w:val="0"/>
              <w:adjustRightInd w:val="0"/>
              <w:rPr>
                <w:sz w:val="20"/>
                <w:szCs w:val="20"/>
                <w:lang w:val="en-GB"/>
              </w:rPr>
            </w:pPr>
            <w:r>
              <w:rPr>
                <w:sz w:val="20"/>
                <w:szCs w:val="20"/>
              </w:rPr>
              <w:t>ИНСТИТУТ ОМОГУЋАВА УЧЕШЋЕ СВИМ ЗАИНТЕРЕСОВАНИМ СТРАНАМА</w:t>
            </w:r>
            <w:r>
              <w:rPr>
                <w:sz w:val="20"/>
                <w:szCs w:val="20"/>
                <w:lang w:val="sr-Cyrl-RS"/>
              </w:rPr>
              <w:t xml:space="preserve"> У ПОСТУПКУ </w:t>
            </w:r>
            <w:r>
              <w:rPr>
                <w:sz w:val="20"/>
                <w:szCs w:val="20"/>
              </w:rPr>
              <w:t xml:space="preserve"> ДОНОШЕЊ</w:t>
            </w:r>
            <w:r>
              <w:rPr>
                <w:sz w:val="20"/>
                <w:szCs w:val="20"/>
                <w:lang w:val="sr-Cyrl-RS"/>
              </w:rPr>
              <w:t>А</w:t>
            </w:r>
            <w:r>
              <w:rPr>
                <w:sz w:val="20"/>
                <w:szCs w:val="20"/>
              </w:rPr>
              <w:t xml:space="preserve"> </w:t>
            </w:r>
            <w:r>
              <w:rPr>
                <w:sz w:val="20"/>
                <w:szCs w:val="20"/>
                <w:lang w:val="sr-Cyrl-RS"/>
              </w:rPr>
              <w:t xml:space="preserve">СРПСКИХ </w:t>
            </w:r>
            <w:r>
              <w:rPr>
                <w:sz w:val="20"/>
                <w:szCs w:val="20"/>
              </w:rPr>
              <w:t>СТАНДАРДА И СРОДНИХ ДОКУМЕНАТА</w:t>
            </w:r>
            <w:r>
              <w:rPr>
                <w:sz w:val="20"/>
                <w:szCs w:val="20"/>
                <w:lang w:val="sr-Cyrl-RS"/>
              </w:rPr>
              <w:t>, КАО И ПРИСТУП ДОНЕТИМ СРПСКИМ СТАНДАРДИМА И СРОДНИМ ДОКУМЕНТИМА</w:t>
            </w:r>
            <w:r>
              <w:rPr>
                <w:sz w:val="20"/>
                <w:szCs w:val="20"/>
              </w:rPr>
              <w:t>.</w:t>
            </w: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ДУ</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 xml:space="preserve">Образложење оцене: </w:t>
            </w:r>
          </w:p>
          <w:p w:rsidR="0017553A" w:rsidRDefault="0017553A">
            <w:pPr>
              <w:spacing w:after="0"/>
              <w:rPr>
                <w:sz w:val="20"/>
                <w:szCs w:val="20"/>
                <w:lang w:val="sr-Cyrl-CS" w:eastAsia="en-GB"/>
              </w:rPr>
            </w:pPr>
            <w:r>
              <w:rPr>
                <w:sz w:val="20"/>
                <w:szCs w:val="20"/>
                <w:lang w:val="sr-Cyrl-CS" w:eastAsia="en-GB"/>
              </w:rPr>
              <w:t>У национално законодавство није  пренета одредба 6.1.б)  Уредбе, а</w:t>
            </w:r>
            <w:r>
              <w:rPr>
                <w:sz w:val="20"/>
                <w:szCs w:val="20"/>
                <w:lang w:val="sr-Latn-CS" w:eastAsia="en-GB"/>
              </w:rPr>
              <w:t xml:space="preserve"> </w:t>
            </w:r>
            <w:r>
              <w:rPr>
                <w:sz w:val="20"/>
                <w:szCs w:val="20"/>
                <w:lang w:val="sr-Cyrl-CS" w:eastAsia="en-GB"/>
              </w:rPr>
              <w:t xml:space="preserve"> обавезе које произлазе из ове одредбе биће  преузете општим актом  Института .</w:t>
            </w:r>
          </w:p>
        </w:tc>
        <w:tc>
          <w:tcPr>
            <w:tcW w:w="1796"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w:t>
            </w:r>
          </w:p>
        </w:tc>
      </w:tr>
      <w:tr w:rsidR="0017553A" w:rsidTr="0017553A">
        <w:trPr>
          <w:gridBefore w:val="1"/>
          <w:wBefore w:w="259" w:type="dxa"/>
          <w:trHeight w:val="277"/>
        </w:trPr>
        <w:tc>
          <w:tcPr>
            <w:tcW w:w="1371"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eastAsia="en-GB"/>
              </w:rPr>
              <w:t xml:space="preserve">6.1.c) </w:t>
            </w:r>
          </w:p>
          <w:p w:rsidR="0017553A" w:rsidRDefault="0017553A">
            <w:pPr>
              <w:spacing w:after="0"/>
              <w:rPr>
                <w:b/>
                <w:sz w:val="20"/>
                <w:szCs w:val="20"/>
                <w:lang w:val="en-GB" w:eastAsia="en-GB"/>
              </w:rPr>
            </w:pPr>
          </w:p>
        </w:tc>
        <w:tc>
          <w:tcPr>
            <w:tcW w:w="4583" w:type="dxa"/>
            <w:gridSpan w:val="2"/>
            <w:tcBorders>
              <w:top w:val="single" w:sz="4" w:space="0" w:color="000000"/>
              <w:left w:val="single" w:sz="4" w:space="0" w:color="000000"/>
              <w:bottom w:val="single" w:sz="4" w:space="0" w:color="000000"/>
              <w:right w:val="single" w:sz="4" w:space="0" w:color="000000"/>
            </w:tcBorders>
          </w:tcPr>
          <w:p w:rsidR="0017553A" w:rsidRDefault="0017553A">
            <w:pPr>
              <w:pStyle w:val="CM4"/>
              <w:tabs>
                <w:tab w:val="left" w:pos="175"/>
              </w:tabs>
              <w:ind w:left="-108" w:firstLine="108"/>
              <w:jc w:val="both"/>
              <w:rPr>
                <w:rFonts w:ascii="Times New Roman" w:hAnsi="Times New Roman"/>
                <w:sz w:val="20"/>
                <w:szCs w:val="20"/>
                <w:lang w:eastAsia="en-GB"/>
              </w:rPr>
            </w:pPr>
            <w:r>
              <w:rPr>
                <w:rFonts w:ascii="Times New Roman" w:hAnsi="Times New Roman"/>
                <w:sz w:val="20"/>
                <w:szCs w:val="20"/>
                <w:lang w:eastAsia="en-GB"/>
              </w:rPr>
              <w:t>c) providing free access or special rates to participate in standardisation activities;</w:t>
            </w:r>
          </w:p>
          <w:p w:rsidR="0017553A" w:rsidRDefault="0017553A">
            <w:pPr>
              <w:rPr>
                <w:rFonts w:ascii="Times New Roman" w:hAnsi="Times New Roman"/>
                <w:sz w:val="20"/>
                <w:szCs w:val="20"/>
                <w:lang w:val="sr-Cyrl-CS"/>
              </w:rPr>
            </w:pP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val="sr-Cyrl-CS" w:eastAsia="en-GB"/>
              </w:rPr>
              <w:t>0.1.</w:t>
            </w:r>
          </w:p>
          <w:p w:rsidR="0017553A" w:rsidRDefault="0017553A">
            <w:pPr>
              <w:spacing w:after="0"/>
              <w:rPr>
                <w:b/>
                <w:sz w:val="20"/>
                <w:szCs w:val="20"/>
                <w:lang w:val="sr-Cyrl-CS" w:eastAsia="en-GB"/>
              </w:rPr>
            </w:pPr>
            <w:r>
              <w:rPr>
                <w:b/>
                <w:sz w:val="20"/>
                <w:szCs w:val="20"/>
                <w:lang w:val="sr-Cyrl-CS" w:eastAsia="en-GB"/>
              </w:rPr>
              <w:t xml:space="preserve">12.8. </w:t>
            </w: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eastAsia="en-GB"/>
              </w:rPr>
            </w:pPr>
          </w:p>
          <w:p w:rsidR="0017553A" w:rsidRDefault="0017553A">
            <w:pPr>
              <w:spacing w:after="0"/>
              <w:rPr>
                <w:b/>
                <w:sz w:val="20"/>
                <w:szCs w:val="20"/>
                <w:lang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r>
              <w:rPr>
                <w:b/>
                <w:sz w:val="20"/>
                <w:szCs w:val="20"/>
                <w:lang w:val="sr-Cyrl-CS" w:eastAsia="en-GB"/>
              </w:rPr>
              <w:t>0.1.</w:t>
            </w:r>
          </w:p>
          <w:p w:rsidR="0017553A" w:rsidRDefault="0017553A">
            <w:pPr>
              <w:spacing w:after="0"/>
              <w:rPr>
                <w:b/>
                <w:sz w:val="20"/>
                <w:szCs w:val="20"/>
                <w:lang w:val="sr-Cyrl-CS" w:eastAsia="en-GB"/>
              </w:rPr>
            </w:pPr>
            <w:r>
              <w:rPr>
                <w:b/>
                <w:sz w:val="20"/>
                <w:szCs w:val="20"/>
                <w:lang w:val="sr-Cyrl-CS" w:eastAsia="en-GB"/>
              </w:rPr>
              <w:t xml:space="preserve">12.9. </w:t>
            </w:r>
          </w:p>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autoSpaceDE w:val="0"/>
              <w:autoSpaceDN w:val="0"/>
              <w:adjustRightInd w:val="0"/>
              <w:rPr>
                <w:sz w:val="20"/>
                <w:szCs w:val="20"/>
                <w:lang w:val="en-GB"/>
              </w:rPr>
            </w:pPr>
            <w:r>
              <w:rPr>
                <w:sz w:val="20"/>
                <w:szCs w:val="20"/>
              </w:rPr>
              <w:lastRenderedPageBreak/>
              <w:t>ИНСТИТУТ ОМОГУЋАВА УЧЕШЋЕ СВИМ ЗАИНТЕРЕСОВАНИМ СТРАНАМА</w:t>
            </w:r>
            <w:r>
              <w:rPr>
                <w:sz w:val="20"/>
                <w:szCs w:val="20"/>
                <w:lang w:val="sr-Cyrl-RS"/>
              </w:rPr>
              <w:t xml:space="preserve"> У ПОСТУПКУ </w:t>
            </w:r>
            <w:r>
              <w:rPr>
                <w:sz w:val="20"/>
                <w:szCs w:val="20"/>
              </w:rPr>
              <w:t xml:space="preserve"> ДОНОШЕЊ</w:t>
            </w:r>
            <w:r>
              <w:rPr>
                <w:sz w:val="20"/>
                <w:szCs w:val="20"/>
                <w:lang w:val="sr-Cyrl-RS"/>
              </w:rPr>
              <w:t>А</w:t>
            </w:r>
            <w:r>
              <w:rPr>
                <w:sz w:val="20"/>
                <w:szCs w:val="20"/>
              </w:rPr>
              <w:t xml:space="preserve"> </w:t>
            </w:r>
            <w:r>
              <w:rPr>
                <w:sz w:val="20"/>
                <w:szCs w:val="20"/>
                <w:lang w:val="sr-Cyrl-RS"/>
              </w:rPr>
              <w:t xml:space="preserve">СРПСКИХ </w:t>
            </w:r>
            <w:r>
              <w:rPr>
                <w:sz w:val="20"/>
                <w:szCs w:val="20"/>
              </w:rPr>
              <w:t>СТАНДАРДА И СРОДНИХ ДОКУМЕНАТА</w:t>
            </w:r>
            <w:r>
              <w:rPr>
                <w:sz w:val="20"/>
                <w:szCs w:val="20"/>
                <w:lang w:val="sr-Cyrl-RS"/>
              </w:rPr>
              <w:t>, КАО И ПРИСТУП ДОНЕТИМ СРПСКИМ СТАНДАРДИМА И СРОДНИМ ДОКУМЕНТИМА</w:t>
            </w:r>
            <w:r>
              <w:rPr>
                <w:sz w:val="20"/>
                <w:szCs w:val="20"/>
              </w:rPr>
              <w:t>.</w:t>
            </w:r>
          </w:p>
          <w:p w:rsidR="0017553A" w:rsidRDefault="0017553A">
            <w:pPr>
              <w:autoSpaceDE w:val="0"/>
              <w:autoSpaceDN w:val="0"/>
              <w:adjustRightInd w:val="0"/>
              <w:spacing w:after="0"/>
              <w:rPr>
                <w:sz w:val="20"/>
                <w:szCs w:val="20"/>
              </w:rPr>
            </w:pPr>
          </w:p>
          <w:p w:rsidR="0017553A" w:rsidRDefault="0017553A">
            <w:pPr>
              <w:autoSpaceDE w:val="0"/>
              <w:autoSpaceDN w:val="0"/>
              <w:adjustRightInd w:val="0"/>
              <w:spacing w:after="0"/>
              <w:rPr>
                <w:sz w:val="20"/>
                <w:szCs w:val="20"/>
              </w:rPr>
            </w:pPr>
            <w:r>
              <w:rPr>
                <w:sz w:val="20"/>
                <w:szCs w:val="20"/>
              </w:rPr>
              <w:t xml:space="preserve">НАЧИН УЧЕШЋА СВИХ ЗАИНТЕРЕСОВАНИХ СТРАНА У </w:t>
            </w:r>
            <w:r>
              <w:rPr>
                <w:sz w:val="20"/>
                <w:szCs w:val="20"/>
                <w:lang w:val="sr-Cyrl-RS"/>
              </w:rPr>
              <w:t>ПОСТУПКУ</w:t>
            </w:r>
            <w:r>
              <w:rPr>
                <w:sz w:val="20"/>
                <w:szCs w:val="20"/>
              </w:rPr>
              <w:t xml:space="preserve"> ДОНОШЕЊ</w:t>
            </w:r>
            <w:r>
              <w:rPr>
                <w:sz w:val="20"/>
                <w:szCs w:val="20"/>
                <w:lang w:val="sr-Cyrl-RS"/>
              </w:rPr>
              <w:t>А</w:t>
            </w:r>
            <w:r>
              <w:rPr>
                <w:sz w:val="20"/>
                <w:szCs w:val="20"/>
              </w:rPr>
              <w:t xml:space="preserve"> </w:t>
            </w:r>
            <w:r>
              <w:rPr>
                <w:sz w:val="20"/>
                <w:szCs w:val="20"/>
                <w:lang w:val="sr-Cyrl-RS"/>
              </w:rPr>
              <w:lastRenderedPageBreak/>
              <w:t xml:space="preserve">СРПСКИХ </w:t>
            </w:r>
            <w:r>
              <w:rPr>
                <w:sz w:val="20"/>
                <w:szCs w:val="20"/>
              </w:rPr>
              <w:t>СТАНДАРДА И СРОДНИХ ДОКУМЕНАТА</w:t>
            </w:r>
            <w:r>
              <w:rPr>
                <w:sz w:val="20"/>
                <w:szCs w:val="20"/>
                <w:lang w:val="sr-Cyrl-RS"/>
              </w:rPr>
              <w:t xml:space="preserve"> И ПРИСТУП ДОНЕТИМ СРПСКИМ СТАНДАРДИМА И СРОДНИМ ДОКУМЕНТИМА</w:t>
            </w:r>
            <w:r>
              <w:rPr>
                <w:sz w:val="20"/>
                <w:szCs w:val="20"/>
              </w:rPr>
              <w:t>, КАО И</w:t>
            </w:r>
            <w:r>
              <w:rPr>
                <w:sz w:val="20"/>
                <w:szCs w:val="20"/>
                <w:lang w:val="sr-Cyrl-RS"/>
              </w:rPr>
              <w:t xml:space="preserve"> ПОДСТИЦАЈИ И ОЛАКШИЦЕ </w:t>
            </w:r>
            <w:r>
              <w:rPr>
                <w:sz w:val="20"/>
                <w:szCs w:val="20"/>
                <w:lang w:val="sr-Cyrl-CS"/>
              </w:rPr>
              <w:t>ЗА</w:t>
            </w:r>
            <w:r>
              <w:rPr>
                <w:sz w:val="20"/>
                <w:szCs w:val="20"/>
                <w:lang w:val="sr-Cyrl-RS"/>
              </w:rPr>
              <w:t xml:space="preserve"> </w:t>
            </w:r>
            <w:r>
              <w:rPr>
                <w:sz w:val="20"/>
                <w:szCs w:val="20"/>
              </w:rPr>
              <w:t>МАЛ</w:t>
            </w:r>
            <w:r>
              <w:rPr>
                <w:sz w:val="20"/>
                <w:szCs w:val="20"/>
                <w:lang w:val="sr-Cyrl-CS"/>
              </w:rPr>
              <w:t>А</w:t>
            </w:r>
            <w:r>
              <w:rPr>
                <w:sz w:val="20"/>
                <w:szCs w:val="20"/>
              </w:rPr>
              <w:t xml:space="preserve"> И СРЕДЊ</w:t>
            </w:r>
            <w:r>
              <w:rPr>
                <w:sz w:val="20"/>
                <w:szCs w:val="20"/>
                <w:lang w:val="sr-Cyrl-CS"/>
              </w:rPr>
              <w:t>А</w:t>
            </w:r>
            <w:r>
              <w:rPr>
                <w:sz w:val="20"/>
                <w:szCs w:val="20"/>
              </w:rPr>
              <w:t xml:space="preserve"> ПРИВРЕДН</w:t>
            </w:r>
            <w:r>
              <w:rPr>
                <w:sz w:val="20"/>
                <w:szCs w:val="20"/>
                <w:lang w:val="sr-Cyrl-CS"/>
              </w:rPr>
              <w:t>А</w:t>
            </w:r>
            <w:r>
              <w:rPr>
                <w:sz w:val="20"/>
                <w:szCs w:val="20"/>
              </w:rPr>
              <w:t xml:space="preserve"> ДРУШТВ</w:t>
            </w:r>
            <w:r>
              <w:rPr>
                <w:sz w:val="20"/>
                <w:szCs w:val="20"/>
                <w:lang w:val="sr-Cyrl-RS"/>
              </w:rPr>
              <w:t xml:space="preserve">А </w:t>
            </w:r>
            <w:r>
              <w:rPr>
                <w:sz w:val="20"/>
                <w:szCs w:val="20"/>
              </w:rPr>
              <w:t>И ПРЕДУЗЕТНИ</w:t>
            </w:r>
            <w:r>
              <w:rPr>
                <w:sz w:val="20"/>
                <w:szCs w:val="20"/>
                <w:lang w:val="sr-Cyrl-RS"/>
              </w:rPr>
              <w:t>К</w:t>
            </w:r>
            <w:r>
              <w:rPr>
                <w:sz w:val="20"/>
                <w:szCs w:val="20"/>
                <w:lang w:val="sr-Cyrl-CS"/>
              </w:rPr>
              <w:t>Е</w:t>
            </w:r>
            <w:r>
              <w:rPr>
                <w:sz w:val="20"/>
                <w:szCs w:val="20"/>
              </w:rPr>
              <w:t>, УДРУЖЕЊ</w:t>
            </w:r>
            <w:r>
              <w:rPr>
                <w:sz w:val="20"/>
                <w:szCs w:val="20"/>
                <w:lang w:val="sr-Cyrl-RS"/>
              </w:rPr>
              <w:t>А</w:t>
            </w:r>
            <w:r>
              <w:rPr>
                <w:sz w:val="20"/>
                <w:szCs w:val="20"/>
              </w:rPr>
              <w:t xml:space="preserve"> ПОТРОШАЧА</w:t>
            </w:r>
            <w:r>
              <w:rPr>
                <w:sz w:val="20"/>
                <w:szCs w:val="20"/>
                <w:lang w:val="sr-Cyrl-RS"/>
              </w:rPr>
              <w:t xml:space="preserve"> И</w:t>
            </w:r>
            <w:r>
              <w:rPr>
                <w:sz w:val="20"/>
                <w:szCs w:val="20"/>
              </w:rPr>
              <w:t xml:space="preserve"> НЕВЛАДИН</w:t>
            </w:r>
            <w:r>
              <w:rPr>
                <w:sz w:val="20"/>
                <w:szCs w:val="20"/>
                <w:lang w:val="sr-Cyrl-CS"/>
              </w:rPr>
              <w:t>Е</w:t>
            </w:r>
            <w:r>
              <w:rPr>
                <w:sz w:val="20"/>
                <w:szCs w:val="20"/>
              </w:rPr>
              <w:t xml:space="preserve"> ОРГАНИЗАЦИЈ</w:t>
            </w:r>
            <w:r>
              <w:rPr>
                <w:sz w:val="20"/>
                <w:szCs w:val="20"/>
                <w:lang w:val="sr-Cyrl-CS"/>
              </w:rPr>
              <w:t xml:space="preserve">Е, </w:t>
            </w:r>
            <w:r>
              <w:rPr>
                <w:sz w:val="20"/>
                <w:szCs w:val="20"/>
              </w:rPr>
              <w:t xml:space="preserve">БЛИЖЕ СЕ УРЕЂУЈЕ </w:t>
            </w:r>
            <w:r>
              <w:rPr>
                <w:sz w:val="20"/>
                <w:szCs w:val="20"/>
                <w:lang w:val="sr-Cyrl-CS"/>
              </w:rPr>
              <w:t>ОПШТИМ</w:t>
            </w:r>
            <w:r>
              <w:rPr>
                <w:sz w:val="20"/>
                <w:szCs w:val="20"/>
              </w:rPr>
              <w:t xml:space="preserve"> АКТОМ ИНСТИТУТА.</w:t>
            </w: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lastRenderedPageBreak/>
              <w:t>ДУ</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 xml:space="preserve">Образложење оцене: </w:t>
            </w:r>
          </w:p>
          <w:p w:rsidR="0017553A" w:rsidRDefault="0017553A">
            <w:pPr>
              <w:spacing w:after="0"/>
              <w:rPr>
                <w:sz w:val="20"/>
                <w:szCs w:val="20"/>
                <w:lang w:val="sr-Cyrl-CS" w:eastAsia="en-GB"/>
              </w:rPr>
            </w:pPr>
            <w:r>
              <w:rPr>
                <w:sz w:val="20"/>
                <w:szCs w:val="20"/>
                <w:lang w:val="sr-Cyrl-CS" w:eastAsia="en-GB"/>
              </w:rPr>
              <w:t>У национално законодавство није  пренета одредба 6.1.ц)  Уредбе, а</w:t>
            </w:r>
            <w:r>
              <w:rPr>
                <w:sz w:val="20"/>
                <w:szCs w:val="20"/>
                <w:lang w:val="sr-Latn-CS" w:eastAsia="en-GB"/>
              </w:rPr>
              <w:t xml:space="preserve"> </w:t>
            </w:r>
            <w:r>
              <w:rPr>
                <w:sz w:val="20"/>
                <w:szCs w:val="20"/>
                <w:lang w:val="sr-Cyrl-CS" w:eastAsia="en-GB"/>
              </w:rPr>
              <w:t xml:space="preserve"> обавезе које произлазе из ове одредбе биће  преузете општим актом  Института .</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Height w:val="277"/>
        </w:trPr>
        <w:tc>
          <w:tcPr>
            <w:tcW w:w="1371"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eastAsia="en-GB"/>
              </w:rPr>
              <w:lastRenderedPageBreak/>
              <w:t>6.1.d)</w:t>
            </w:r>
          </w:p>
          <w:p w:rsidR="0017553A" w:rsidRDefault="0017553A">
            <w:pPr>
              <w:spacing w:after="0"/>
              <w:rPr>
                <w:b/>
                <w:sz w:val="20"/>
                <w:szCs w:val="20"/>
                <w:lang w:val="en-GB" w:eastAsia="en-GB"/>
              </w:rPr>
            </w:pP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rPr>
            </w:pPr>
            <w:r>
              <w:rPr>
                <w:sz w:val="20"/>
                <w:szCs w:val="20"/>
                <w:lang w:eastAsia="en-GB"/>
              </w:rPr>
              <w:t>(d) providing free access to draft standards;</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val="sr-Cyrl-CS" w:eastAsia="en-GB"/>
              </w:rPr>
              <w:t>0.1.</w:t>
            </w:r>
          </w:p>
          <w:p w:rsidR="0017553A" w:rsidRDefault="0017553A">
            <w:pPr>
              <w:spacing w:after="0"/>
              <w:rPr>
                <w:b/>
                <w:sz w:val="20"/>
                <w:szCs w:val="20"/>
                <w:lang w:val="sr-Cyrl-CS" w:eastAsia="en-GB"/>
              </w:rPr>
            </w:pPr>
            <w:r>
              <w:rPr>
                <w:b/>
                <w:sz w:val="20"/>
                <w:szCs w:val="20"/>
                <w:lang w:val="sr-Cyrl-CS" w:eastAsia="en-GB"/>
              </w:rPr>
              <w:t xml:space="preserve">12.8. </w:t>
            </w: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eastAsia="en-GB"/>
              </w:rPr>
            </w:pPr>
          </w:p>
          <w:p w:rsidR="0017553A" w:rsidRDefault="0017553A">
            <w:pPr>
              <w:spacing w:after="0"/>
              <w:rPr>
                <w:b/>
                <w:sz w:val="20"/>
                <w:szCs w:val="20"/>
                <w:lang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r>
              <w:rPr>
                <w:b/>
                <w:sz w:val="20"/>
                <w:szCs w:val="20"/>
                <w:lang w:val="sr-Cyrl-CS" w:eastAsia="en-GB"/>
              </w:rPr>
              <w:t>0.1.</w:t>
            </w:r>
          </w:p>
          <w:p w:rsidR="0017553A" w:rsidRDefault="0017553A">
            <w:pPr>
              <w:spacing w:after="0"/>
              <w:rPr>
                <w:b/>
                <w:sz w:val="20"/>
                <w:szCs w:val="20"/>
                <w:lang w:val="sr-Cyrl-CS" w:eastAsia="en-GB"/>
              </w:rPr>
            </w:pPr>
            <w:r>
              <w:rPr>
                <w:b/>
                <w:sz w:val="20"/>
                <w:szCs w:val="20"/>
                <w:lang w:val="sr-Cyrl-CS" w:eastAsia="en-GB"/>
              </w:rPr>
              <w:t xml:space="preserve">12.9. </w:t>
            </w:r>
          </w:p>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autoSpaceDE w:val="0"/>
              <w:autoSpaceDN w:val="0"/>
              <w:adjustRightInd w:val="0"/>
              <w:rPr>
                <w:sz w:val="20"/>
                <w:szCs w:val="20"/>
                <w:lang w:val="en-GB"/>
              </w:rPr>
            </w:pPr>
            <w:r>
              <w:rPr>
                <w:sz w:val="20"/>
                <w:szCs w:val="20"/>
              </w:rPr>
              <w:t>ИНСТИТУТ ОМОГУЋАВА УЧЕШЋЕ СВИМ ЗАИНТЕРЕСОВАНИМ СТРАНАМА</w:t>
            </w:r>
            <w:r>
              <w:rPr>
                <w:sz w:val="20"/>
                <w:szCs w:val="20"/>
                <w:lang w:val="sr-Cyrl-RS"/>
              </w:rPr>
              <w:t xml:space="preserve"> У ПОСТУПКУ </w:t>
            </w:r>
            <w:r>
              <w:rPr>
                <w:sz w:val="20"/>
                <w:szCs w:val="20"/>
              </w:rPr>
              <w:t xml:space="preserve"> ДОНОШЕЊ</w:t>
            </w:r>
            <w:r>
              <w:rPr>
                <w:sz w:val="20"/>
                <w:szCs w:val="20"/>
                <w:lang w:val="sr-Cyrl-RS"/>
              </w:rPr>
              <w:t>А</w:t>
            </w:r>
            <w:r>
              <w:rPr>
                <w:sz w:val="20"/>
                <w:szCs w:val="20"/>
              </w:rPr>
              <w:t xml:space="preserve"> </w:t>
            </w:r>
            <w:r>
              <w:rPr>
                <w:sz w:val="20"/>
                <w:szCs w:val="20"/>
                <w:lang w:val="sr-Cyrl-RS"/>
              </w:rPr>
              <w:t xml:space="preserve">СРПСКИХ </w:t>
            </w:r>
            <w:r>
              <w:rPr>
                <w:sz w:val="20"/>
                <w:szCs w:val="20"/>
              </w:rPr>
              <w:t>СТАНДАРДА И СРОДНИХ ДОКУМЕНАТА</w:t>
            </w:r>
            <w:r>
              <w:rPr>
                <w:sz w:val="20"/>
                <w:szCs w:val="20"/>
                <w:lang w:val="sr-Cyrl-RS"/>
              </w:rPr>
              <w:t>, КАО И ПРИСТУП ДОНЕТИМ СРПСКИМ СТАНДАРДИМА И СРОДНИМ ДОКУМЕНТИМА</w:t>
            </w:r>
            <w:r>
              <w:rPr>
                <w:sz w:val="20"/>
                <w:szCs w:val="20"/>
              </w:rPr>
              <w:t>.</w:t>
            </w:r>
          </w:p>
          <w:p w:rsidR="0017553A" w:rsidRDefault="0017553A">
            <w:pPr>
              <w:autoSpaceDE w:val="0"/>
              <w:autoSpaceDN w:val="0"/>
              <w:adjustRightInd w:val="0"/>
              <w:spacing w:after="0"/>
              <w:rPr>
                <w:sz w:val="20"/>
                <w:szCs w:val="20"/>
              </w:rPr>
            </w:pPr>
          </w:p>
          <w:p w:rsidR="0017553A" w:rsidRDefault="0017553A">
            <w:pPr>
              <w:autoSpaceDE w:val="0"/>
              <w:autoSpaceDN w:val="0"/>
              <w:adjustRightInd w:val="0"/>
              <w:spacing w:after="0"/>
              <w:rPr>
                <w:sz w:val="20"/>
                <w:szCs w:val="20"/>
              </w:rPr>
            </w:pPr>
            <w:r>
              <w:rPr>
                <w:sz w:val="20"/>
                <w:szCs w:val="20"/>
              </w:rPr>
              <w:t xml:space="preserve">НАЧИН УЧЕШЋА СВИХ ЗАИНТЕРЕСОВАНИХ СТРАНА У </w:t>
            </w:r>
            <w:r>
              <w:rPr>
                <w:sz w:val="20"/>
                <w:szCs w:val="20"/>
                <w:lang w:val="sr-Cyrl-RS"/>
              </w:rPr>
              <w:t>ПОСТУПКУ</w:t>
            </w:r>
            <w:r>
              <w:rPr>
                <w:sz w:val="20"/>
                <w:szCs w:val="20"/>
              </w:rPr>
              <w:t xml:space="preserve"> ДОНОШЕЊ</w:t>
            </w:r>
            <w:r>
              <w:rPr>
                <w:sz w:val="20"/>
                <w:szCs w:val="20"/>
                <w:lang w:val="sr-Cyrl-RS"/>
              </w:rPr>
              <w:t>А</w:t>
            </w:r>
            <w:r>
              <w:rPr>
                <w:sz w:val="20"/>
                <w:szCs w:val="20"/>
              </w:rPr>
              <w:t xml:space="preserve"> </w:t>
            </w:r>
            <w:r>
              <w:rPr>
                <w:sz w:val="20"/>
                <w:szCs w:val="20"/>
                <w:lang w:val="sr-Cyrl-RS"/>
              </w:rPr>
              <w:t xml:space="preserve">СРПСКИХ </w:t>
            </w:r>
            <w:r>
              <w:rPr>
                <w:sz w:val="20"/>
                <w:szCs w:val="20"/>
              </w:rPr>
              <w:t>СТАНДАРДА И СРОДНИХ ДОКУМЕНАТА</w:t>
            </w:r>
            <w:r>
              <w:rPr>
                <w:sz w:val="20"/>
                <w:szCs w:val="20"/>
                <w:lang w:val="sr-Cyrl-RS"/>
              </w:rPr>
              <w:t xml:space="preserve"> И ПРИСТУП ДОНЕТИМ СРПСКИМ СТАНДАРДИМА И СРОДНИМ ДОКУМЕНТИМА</w:t>
            </w:r>
            <w:r>
              <w:rPr>
                <w:sz w:val="20"/>
                <w:szCs w:val="20"/>
              </w:rPr>
              <w:t>, КАО И</w:t>
            </w:r>
            <w:r>
              <w:rPr>
                <w:sz w:val="20"/>
                <w:szCs w:val="20"/>
                <w:lang w:val="sr-Cyrl-RS"/>
              </w:rPr>
              <w:t xml:space="preserve"> ПОДСТИЦАЈИ И ОЛАКШИЦЕ </w:t>
            </w:r>
            <w:r>
              <w:rPr>
                <w:sz w:val="20"/>
                <w:szCs w:val="20"/>
                <w:lang w:val="sr-Cyrl-CS"/>
              </w:rPr>
              <w:t>ЗА</w:t>
            </w:r>
            <w:r>
              <w:rPr>
                <w:sz w:val="20"/>
                <w:szCs w:val="20"/>
                <w:lang w:val="sr-Cyrl-RS"/>
              </w:rPr>
              <w:t xml:space="preserve"> </w:t>
            </w:r>
            <w:r>
              <w:rPr>
                <w:sz w:val="20"/>
                <w:szCs w:val="20"/>
              </w:rPr>
              <w:t>МАЛ</w:t>
            </w:r>
            <w:r>
              <w:rPr>
                <w:sz w:val="20"/>
                <w:szCs w:val="20"/>
                <w:lang w:val="sr-Cyrl-CS"/>
              </w:rPr>
              <w:t>А</w:t>
            </w:r>
            <w:r>
              <w:rPr>
                <w:sz w:val="20"/>
                <w:szCs w:val="20"/>
              </w:rPr>
              <w:t xml:space="preserve"> И СРЕДЊ</w:t>
            </w:r>
            <w:r>
              <w:rPr>
                <w:sz w:val="20"/>
                <w:szCs w:val="20"/>
                <w:lang w:val="sr-Cyrl-CS"/>
              </w:rPr>
              <w:t>А</w:t>
            </w:r>
            <w:r>
              <w:rPr>
                <w:sz w:val="20"/>
                <w:szCs w:val="20"/>
              </w:rPr>
              <w:t xml:space="preserve"> ПРИВРЕДН</w:t>
            </w:r>
            <w:r>
              <w:rPr>
                <w:sz w:val="20"/>
                <w:szCs w:val="20"/>
                <w:lang w:val="sr-Cyrl-CS"/>
              </w:rPr>
              <w:t>А</w:t>
            </w:r>
            <w:r>
              <w:rPr>
                <w:sz w:val="20"/>
                <w:szCs w:val="20"/>
              </w:rPr>
              <w:t xml:space="preserve"> ДРУШТВ</w:t>
            </w:r>
            <w:r>
              <w:rPr>
                <w:sz w:val="20"/>
                <w:szCs w:val="20"/>
                <w:lang w:val="sr-Cyrl-RS"/>
              </w:rPr>
              <w:t xml:space="preserve">А </w:t>
            </w:r>
            <w:r>
              <w:rPr>
                <w:sz w:val="20"/>
                <w:szCs w:val="20"/>
              </w:rPr>
              <w:t>И ПРЕДУЗЕТНИ</w:t>
            </w:r>
            <w:r>
              <w:rPr>
                <w:sz w:val="20"/>
                <w:szCs w:val="20"/>
                <w:lang w:val="sr-Cyrl-RS"/>
              </w:rPr>
              <w:t>К</w:t>
            </w:r>
            <w:r>
              <w:rPr>
                <w:sz w:val="20"/>
                <w:szCs w:val="20"/>
                <w:lang w:val="sr-Cyrl-CS"/>
              </w:rPr>
              <w:t>Е</w:t>
            </w:r>
            <w:r>
              <w:rPr>
                <w:sz w:val="20"/>
                <w:szCs w:val="20"/>
              </w:rPr>
              <w:t>, УДРУЖЕЊ</w:t>
            </w:r>
            <w:r>
              <w:rPr>
                <w:sz w:val="20"/>
                <w:szCs w:val="20"/>
                <w:lang w:val="sr-Cyrl-RS"/>
              </w:rPr>
              <w:t>А</w:t>
            </w:r>
            <w:r>
              <w:rPr>
                <w:sz w:val="20"/>
                <w:szCs w:val="20"/>
              </w:rPr>
              <w:t xml:space="preserve"> ПОТРОШАЧА</w:t>
            </w:r>
            <w:r>
              <w:rPr>
                <w:sz w:val="20"/>
                <w:szCs w:val="20"/>
                <w:lang w:val="sr-Cyrl-RS"/>
              </w:rPr>
              <w:t xml:space="preserve"> И</w:t>
            </w:r>
            <w:r>
              <w:rPr>
                <w:sz w:val="20"/>
                <w:szCs w:val="20"/>
              </w:rPr>
              <w:t xml:space="preserve"> НЕВЛАДИН</w:t>
            </w:r>
            <w:r>
              <w:rPr>
                <w:sz w:val="20"/>
                <w:szCs w:val="20"/>
                <w:lang w:val="sr-Cyrl-CS"/>
              </w:rPr>
              <w:t>Е</w:t>
            </w:r>
            <w:r>
              <w:rPr>
                <w:sz w:val="20"/>
                <w:szCs w:val="20"/>
              </w:rPr>
              <w:t xml:space="preserve"> ОРГАНИЗАЦИЈ</w:t>
            </w:r>
            <w:r>
              <w:rPr>
                <w:sz w:val="20"/>
                <w:szCs w:val="20"/>
                <w:lang w:val="sr-Cyrl-CS"/>
              </w:rPr>
              <w:t xml:space="preserve">Е, </w:t>
            </w:r>
            <w:r>
              <w:rPr>
                <w:sz w:val="20"/>
                <w:szCs w:val="20"/>
              </w:rPr>
              <w:t xml:space="preserve">БЛИЖЕ СЕ УРЕЂУЈЕ </w:t>
            </w:r>
            <w:r>
              <w:rPr>
                <w:sz w:val="20"/>
                <w:szCs w:val="20"/>
                <w:lang w:val="sr-Cyrl-CS"/>
              </w:rPr>
              <w:t>ОПШТИМ</w:t>
            </w:r>
            <w:r>
              <w:rPr>
                <w:sz w:val="20"/>
                <w:szCs w:val="20"/>
              </w:rPr>
              <w:t xml:space="preserve"> АКТОМ ИНСТИТУТА.</w:t>
            </w: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ДУ</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 xml:space="preserve">Образложење оцене: </w:t>
            </w:r>
          </w:p>
          <w:p w:rsidR="0017553A" w:rsidRDefault="0017553A">
            <w:pPr>
              <w:spacing w:after="0"/>
              <w:rPr>
                <w:sz w:val="20"/>
                <w:szCs w:val="20"/>
                <w:lang w:val="sr-Cyrl-CS" w:eastAsia="en-GB"/>
              </w:rPr>
            </w:pPr>
            <w:r>
              <w:rPr>
                <w:sz w:val="20"/>
                <w:szCs w:val="20"/>
                <w:lang w:val="sr-Cyrl-CS" w:eastAsia="en-GB"/>
              </w:rPr>
              <w:t>У национално законодавство није потпуно пренета одредба 6.1.д)  Уредбе, а</w:t>
            </w:r>
            <w:r>
              <w:rPr>
                <w:sz w:val="20"/>
                <w:szCs w:val="20"/>
                <w:lang w:val="sr-Latn-CS" w:eastAsia="en-GB"/>
              </w:rPr>
              <w:t xml:space="preserve"> </w:t>
            </w:r>
            <w:r>
              <w:rPr>
                <w:sz w:val="20"/>
                <w:szCs w:val="20"/>
                <w:lang w:val="sr-Cyrl-CS" w:eastAsia="en-GB"/>
              </w:rPr>
              <w:t xml:space="preserve"> обавезе које произлазе из ове одредбе биће преузете  преузете општим актом  Института .</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Height w:val="277"/>
        </w:trPr>
        <w:tc>
          <w:tcPr>
            <w:tcW w:w="1371"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eastAsia="en-GB"/>
              </w:rPr>
              <w:lastRenderedPageBreak/>
              <w:t>6.1.e)</w:t>
            </w:r>
          </w:p>
          <w:p w:rsidR="0017553A" w:rsidRDefault="0017553A">
            <w:pPr>
              <w:spacing w:after="0"/>
              <w:rPr>
                <w:b/>
                <w:sz w:val="20"/>
                <w:szCs w:val="20"/>
                <w:lang w:val="en-GB" w:eastAsia="en-GB"/>
              </w:rPr>
            </w:pP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rPr>
            </w:pPr>
            <w:r>
              <w:rPr>
                <w:sz w:val="20"/>
                <w:szCs w:val="20"/>
                <w:lang w:eastAsia="en-GB"/>
              </w:rPr>
              <w:t>(e) making available free of charge on their website abstracts of standards;</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val="sr-Cyrl-CS" w:eastAsia="en-GB"/>
              </w:rPr>
              <w:t>0.1.</w:t>
            </w:r>
          </w:p>
          <w:p w:rsidR="0017553A" w:rsidRDefault="0017553A">
            <w:pPr>
              <w:spacing w:after="0"/>
              <w:rPr>
                <w:b/>
                <w:sz w:val="20"/>
                <w:szCs w:val="20"/>
                <w:lang w:val="sr-Cyrl-CS" w:eastAsia="en-GB"/>
              </w:rPr>
            </w:pPr>
            <w:r>
              <w:rPr>
                <w:b/>
                <w:sz w:val="20"/>
                <w:szCs w:val="20"/>
                <w:lang w:val="sr-Cyrl-CS" w:eastAsia="en-GB"/>
              </w:rPr>
              <w:t xml:space="preserve">12.8. </w:t>
            </w: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eastAsia="en-GB"/>
              </w:rPr>
            </w:pPr>
          </w:p>
          <w:p w:rsidR="0017553A" w:rsidRDefault="0017553A">
            <w:pPr>
              <w:spacing w:after="0"/>
              <w:rPr>
                <w:b/>
                <w:sz w:val="20"/>
                <w:szCs w:val="20"/>
                <w:lang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r>
              <w:rPr>
                <w:b/>
                <w:sz w:val="20"/>
                <w:szCs w:val="20"/>
                <w:lang w:val="sr-Cyrl-CS" w:eastAsia="en-GB"/>
              </w:rPr>
              <w:t>0.1.</w:t>
            </w:r>
          </w:p>
          <w:p w:rsidR="0017553A" w:rsidRDefault="0017553A">
            <w:pPr>
              <w:spacing w:after="0"/>
              <w:rPr>
                <w:b/>
                <w:sz w:val="20"/>
                <w:szCs w:val="20"/>
                <w:lang w:val="sr-Cyrl-CS" w:eastAsia="en-GB"/>
              </w:rPr>
            </w:pPr>
            <w:r>
              <w:rPr>
                <w:b/>
                <w:sz w:val="20"/>
                <w:szCs w:val="20"/>
                <w:lang w:val="sr-Cyrl-CS" w:eastAsia="en-GB"/>
              </w:rPr>
              <w:t xml:space="preserve">12.9. </w:t>
            </w:r>
          </w:p>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autoSpaceDE w:val="0"/>
              <w:autoSpaceDN w:val="0"/>
              <w:adjustRightInd w:val="0"/>
              <w:rPr>
                <w:sz w:val="20"/>
                <w:szCs w:val="20"/>
                <w:lang w:val="en-GB"/>
              </w:rPr>
            </w:pPr>
            <w:r>
              <w:rPr>
                <w:sz w:val="20"/>
                <w:szCs w:val="20"/>
              </w:rPr>
              <w:t>ИНСТИТУТ ОМОГУЋАВА УЧЕШЋЕ СВИМ ЗАИНТЕРЕСОВАНИМ СТРАНАМА</w:t>
            </w:r>
            <w:r>
              <w:rPr>
                <w:sz w:val="20"/>
                <w:szCs w:val="20"/>
                <w:lang w:val="sr-Cyrl-RS"/>
              </w:rPr>
              <w:t xml:space="preserve"> У ПОСТУПКУ </w:t>
            </w:r>
            <w:r>
              <w:rPr>
                <w:sz w:val="20"/>
                <w:szCs w:val="20"/>
              </w:rPr>
              <w:t xml:space="preserve"> ДОНОШЕЊ</w:t>
            </w:r>
            <w:r>
              <w:rPr>
                <w:sz w:val="20"/>
                <w:szCs w:val="20"/>
                <w:lang w:val="sr-Cyrl-RS"/>
              </w:rPr>
              <w:t>А</w:t>
            </w:r>
            <w:r>
              <w:rPr>
                <w:sz w:val="20"/>
                <w:szCs w:val="20"/>
              </w:rPr>
              <w:t xml:space="preserve"> </w:t>
            </w:r>
            <w:r>
              <w:rPr>
                <w:sz w:val="20"/>
                <w:szCs w:val="20"/>
                <w:lang w:val="sr-Cyrl-RS"/>
              </w:rPr>
              <w:t xml:space="preserve">СРПСКИХ </w:t>
            </w:r>
            <w:r>
              <w:rPr>
                <w:sz w:val="20"/>
                <w:szCs w:val="20"/>
              </w:rPr>
              <w:t>СТАНДАРДА И СРОДНИХ ДОКУМЕНАТА</w:t>
            </w:r>
            <w:r>
              <w:rPr>
                <w:sz w:val="20"/>
                <w:szCs w:val="20"/>
                <w:lang w:val="sr-Cyrl-RS"/>
              </w:rPr>
              <w:t>, КАО И ПРИСТУП ДОНЕТИМ СРПСКИМ СТАНДАРДИМА И СРОДНИМ ДОКУМЕНТИМА</w:t>
            </w:r>
            <w:r>
              <w:rPr>
                <w:sz w:val="20"/>
                <w:szCs w:val="20"/>
              </w:rPr>
              <w:t>.</w:t>
            </w:r>
          </w:p>
          <w:p w:rsidR="0017553A" w:rsidRDefault="0017553A">
            <w:pPr>
              <w:autoSpaceDE w:val="0"/>
              <w:autoSpaceDN w:val="0"/>
              <w:adjustRightInd w:val="0"/>
              <w:spacing w:after="0"/>
              <w:rPr>
                <w:sz w:val="20"/>
                <w:szCs w:val="20"/>
              </w:rPr>
            </w:pPr>
          </w:p>
          <w:p w:rsidR="0017553A" w:rsidRDefault="0017553A">
            <w:pPr>
              <w:autoSpaceDE w:val="0"/>
              <w:autoSpaceDN w:val="0"/>
              <w:adjustRightInd w:val="0"/>
              <w:spacing w:after="0"/>
              <w:rPr>
                <w:sz w:val="20"/>
                <w:szCs w:val="20"/>
              </w:rPr>
            </w:pPr>
            <w:r>
              <w:rPr>
                <w:sz w:val="20"/>
                <w:szCs w:val="20"/>
              </w:rPr>
              <w:t xml:space="preserve">НАЧИН УЧЕШЋА СВИХ ЗАИНТЕРЕСОВАНИХ СТРАНА У </w:t>
            </w:r>
            <w:r>
              <w:rPr>
                <w:sz w:val="20"/>
                <w:szCs w:val="20"/>
                <w:lang w:val="sr-Cyrl-RS"/>
              </w:rPr>
              <w:t>ПОСТУПКУ</w:t>
            </w:r>
            <w:r>
              <w:rPr>
                <w:sz w:val="20"/>
                <w:szCs w:val="20"/>
              </w:rPr>
              <w:t xml:space="preserve"> ДОНОШЕЊ</w:t>
            </w:r>
            <w:r>
              <w:rPr>
                <w:sz w:val="20"/>
                <w:szCs w:val="20"/>
                <w:lang w:val="sr-Cyrl-RS"/>
              </w:rPr>
              <w:t>А</w:t>
            </w:r>
            <w:r>
              <w:rPr>
                <w:sz w:val="20"/>
                <w:szCs w:val="20"/>
              </w:rPr>
              <w:t xml:space="preserve"> </w:t>
            </w:r>
            <w:r>
              <w:rPr>
                <w:sz w:val="20"/>
                <w:szCs w:val="20"/>
                <w:lang w:val="sr-Cyrl-RS"/>
              </w:rPr>
              <w:t xml:space="preserve">СРПСКИХ </w:t>
            </w:r>
            <w:r>
              <w:rPr>
                <w:sz w:val="20"/>
                <w:szCs w:val="20"/>
              </w:rPr>
              <w:t>СТАНДАРДА И СРОДНИХ ДОКУМЕНАТА</w:t>
            </w:r>
            <w:r>
              <w:rPr>
                <w:sz w:val="20"/>
                <w:szCs w:val="20"/>
                <w:lang w:val="sr-Cyrl-RS"/>
              </w:rPr>
              <w:t xml:space="preserve"> И ПРИСТУП ДОНЕТИМ СРПСКИМ СТАНДАРДИМА И СРОДНИМ ДОКУМЕНТИМА</w:t>
            </w:r>
            <w:r>
              <w:rPr>
                <w:sz w:val="20"/>
                <w:szCs w:val="20"/>
              </w:rPr>
              <w:t>, КАО И</w:t>
            </w:r>
            <w:r>
              <w:rPr>
                <w:sz w:val="20"/>
                <w:szCs w:val="20"/>
                <w:lang w:val="sr-Cyrl-RS"/>
              </w:rPr>
              <w:t xml:space="preserve"> ПОДСТИЦАЈИ И ОЛАКШИЦЕ </w:t>
            </w:r>
            <w:r>
              <w:rPr>
                <w:sz w:val="20"/>
                <w:szCs w:val="20"/>
                <w:lang w:val="sr-Cyrl-CS"/>
              </w:rPr>
              <w:t>ЗА</w:t>
            </w:r>
            <w:r>
              <w:rPr>
                <w:sz w:val="20"/>
                <w:szCs w:val="20"/>
                <w:lang w:val="sr-Cyrl-RS"/>
              </w:rPr>
              <w:t xml:space="preserve"> </w:t>
            </w:r>
            <w:r>
              <w:rPr>
                <w:sz w:val="20"/>
                <w:szCs w:val="20"/>
              </w:rPr>
              <w:t>МАЛ</w:t>
            </w:r>
            <w:r>
              <w:rPr>
                <w:sz w:val="20"/>
                <w:szCs w:val="20"/>
                <w:lang w:val="sr-Cyrl-CS"/>
              </w:rPr>
              <w:t>А</w:t>
            </w:r>
            <w:r>
              <w:rPr>
                <w:sz w:val="20"/>
                <w:szCs w:val="20"/>
              </w:rPr>
              <w:t xml:space="preserve"> И СРЕДЊ</w:t>
            </w:r>
            <w:r>
              <w:rPr>
                <w:sz w:val="20"/>
                <w:szCs w:val="20"/>
                <w:lang w:val="sr-Cyrl-CS"/>
              </w:rPr>
              <w:t>А</w:t>
            </w:r>
            <w:r>
              <w:rPr>
                <w:sz w:val="20"/>
                <w:szCs w:val="20"/>
              </w:rPr>
              <w:t xml:space="preserve"> ПРИВРЕДН</w:t>
            </w:r>
            <w:r>
              <w:rPr>
                <w:sz w:val="20"/>
                <w:szCs w:val="20"/>
                <w:lang w:val="sr-Cyrl-CS"/>
              </w:rPr>
              <w:t>А</w:t>
            </w:r>
            <w:r>
              <w:rPr>
                <w:sz w:val="20"/>
                <w:szCs w:val="20"/>
              </w:rPr>
              <w:t xml:space="preserve"> ДРУШТВ</w:t>
            </w:r>
            <w:r>
              <w:rPr>
                <w:sz w:val="20"/>
                <w:szCs w:val="20"/>
                <w:lang w:val="sr-Cyrl-RS"/>
              </w:rPr>
              <w:t xml:space="preserve">А </w:t>
            </w:r>
            <w:r>
              <w:rPr>
                <w:sz w:val="20"/>
                <w:szCs w:val="20"/>
              </w:rPr>
              <w:t>И ПРЕДУЗЕТНИ</w:t>
            </w:r>
            <w:r>
              <w:rPr>
                <w:sz w:val="20"/>
                <w:szCs w:val="20"/>
                <w:lang w:val="sr-Cyrl-RS"/>
              </w:rPr>
              <w:t>К</w:t>
            </w:r>
            <w:r>
              <w:rPr>
                <w:sz w:val="20"/>
                <w:szCs w:val="20"/>
                <w:lang w:val="sr-Cyrl-CS"/>
              </w:rPr>
              <w:t>Е</w:t>
            </w:r>
            <w:r>
              <w:rPr>
                <w:sz w:val="20"/>
                <w:szCs w:val="20"/>
              </w:rPr>
              <w:t>, УДРУЖЕЊ</w:t>
            </w:r>
            <w:r>
              <w:rPr>
                <w:sz w:val="20"/>
                <w:szCs w:val="20"/>
                <w:lang w:val="sr-Cyrl-RS"/>
              </w:rPr>
              <w:t>А</w:t>
            </w:r>
            <w:r>
              <w:rPr>
                <w:sz w:val="20"/>
                <w:szCs w:val="20"/>
              </w:rPr>
              <w:t xml:space="preserve"> ПОТРОШАЧА</w:t>
            </w:r>
            <w:r>
              <w:rPr>
                <w:sz w:val="20"/>
                <w:szCs w:val="20"/>
                <w:lang w:val="sr-Cyrl-RS"/>
              </w:rPr>
              <w:t xml:space="preserve"> И</w:t>
            </w:r>
            <w:r>
              <w:rPr>
                <w:sz w:val="20"/>
                <w:szCs w:val="20"/>
              </w:rPr>
              <w:t xml:space="preserve"> НЕВЛАДИН</w:t>
            </w:r>
            <w:r>
              <w:rPr>
                <w:sz w:val="20"/>
                <w:szCs w:val="20"/>
                <w:lang w:val="sr-Cyrl-CS"/>
              </w:rPr>
              <w:t>Е</w:t>
            </w:r>
            <w:r>
              <w:rPr>
                <w:sz w:val="20"/>
                <w:szCs w:val="20"/>
              </w:rPr>
              <w:t xml:space="preserve"> ОРГАНИЗАЦИЈ</w:t>
            </w:r>
            <w:r>
              <w:rPr>
                <w:sz w:val="20"/>
                <w:szCs w:val="20"/>
                <w:lang w:val="sr-Cyrl-CS"/>
              </w:rPr>
              <w:t xml:space="preserve">Е, </w:t>
            </w:r>
            <w:r>
              <w:rPr>
                <w:sz w:val="20"/>
                <w:szCs w:val="20"/>
              </w:rPr>
              <w:t xml:space="preserve">БЛИЖЕ СЕ УРЕЂУЈЕ </w:t>
            </w:r>
            <w:r>
              <w:rPr>
                <w:sz w:val="20"/>
                <w:szCs w:val="20"/>
                <w:lang w:val="sr-Cyrl-CS"/>
              </w:rPr>
              <w:t>ОПШТИМ</w:t>
            </w:r>
            <w:r>
              <w:rPr>
                <w:sz w:val="20"/>
                <w:szCs w:val="20"/>
              </w:rPr>
              <w:t xml:space="preserve"> АКТОМ ИНСТИТУТА.</w:t>
            </w: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ДУ</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 xml:space="preserve">Образложење оцене: </w:t>
            </w:r>
          </w:p>
          <w:p w:rsidR="0017553A" w:rsidRDefault="0017553A">
            <w:pPr>
              <w:spacing w:after="0"/>
              <w:rPr>
                <w:sz w:val="20"/>
                <w:szCs w:val="20"/>
                <w:lang w:val="sr-Cyrl-CS" w:eastAsia="en-GB"/>
              </w:rPr>
            </w:pPr>
            <w:r>
              <w:rPr>
                <w:sz w:val="20"/>
                <w:szCs w:val="20"/>
                <w:lang w:val="sr-Cyrl-CS" w:eastAsia="en-GB"/>
              </w:rPr>
              <w:t>У национално законодавство није  пренета одредба 6.1.е)  Уредбе, а</w:t>
            </w:r>
            <w:r>
              <w:rPr>
                <w:sz w:val="20"/>
                <w:szCs w:val="20"/>
                <w:lang w:val="sr-Latn-CS" w:eastAsia="en-GB"/>
              </w:rPr>
              <w:t xml:space="preserve"> </w:t>
            </w:r>
            <w:r>
              <w:rPr>
                <w:sz w:val="20"/>
                <w:szCs w:val="20"/>
                <w:lang w:val="sr-Cyrl-CS" w:eastAsia="en-GB"/>
              </w:rPr>
              <w:t xml:space="preserve"> обавезе које произлазе из ове одредбе биће преузете општим актом  Института.</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Height w:val="277"/>
        </w:trPr>
        <w:tc>
          <w:tcPr>
            <w:tcW w:w="1371"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eastAsia="en-GB"/>
              </w:rPr>
              <w:t>6.1.f)</w:t>
            </w:r>
          </w:p>
          <w:p w:rsidR="0017553A" w:rsidRDefault="0017553A">
            <w:pPr>
              <w:spacing w:after="0"/>
              <w:rPr>
                <w:b/>
                <w:sz w:val="20"/>
                <w:szCs w:val="20"/>
                <w:lang w:val="en-GB" w:eastAsia="en-GB"/>
              </w:rPr>
            </w:pPr>
          </w:p>
        </w:tc>
        <w:tc>
          <w:tcPr>
            <w:tcW w:w="4583" w:type="dxa"/>
            <w:gridSpan w:val="2"/>
            <w:tcBorders>
              <w:top w:val="single" w:sz="4" w:space="0" w:color="000000"/>
              <w:left w:val="single" w:sz="4" w:space="0" w:color="000000"/>
              <w:bottom w:val="single" w:sz="4" w:space="0" w:color="000000"/>
              <w:right w:val="single" w:sz="4" w:space="0" w:color="000000"/>
            </w:tcBorders>
          </w:tcPr>
          <w:p w:rsidR="0017553A" w:rsidRDefault="0017553A">
            <w:pPr>
              <w:rPr>
                <w:sz w:val="20"/>
                <w:szCs w:val="20"/>
                <w:lang w:val="sr-Cyrl-CS" w:eastAsia="en-GB"/>
              </w:rPr>
            </w:pPr>
            <w:r>
              <w:rPr>
                <w:sz w:val="20"/>
                <w:szCs w:val="20"/>
                <w:lang w:eastAsia="en-GB"/>
              </w:rPr>
              <w:t>(f) applying special rates for the provision of standards or providing bundles of standards at a reduced price</w:t>
            </w:r>
          </w:p>
          <w:p w:rsidR="0017553A" w:rsidRDefault="0017553A">
            <w:pPr>
              <w:rPr>
                <w:sz w:val="20"/>
                <w:szCs w:val="20"/>
                <w:lang w:val="en-GB"/>
              </w:rPr>
            </w:pP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highlight w:val="green"/>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ДУ</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 xml:space="preserve">Образложење оцене: </w:t>
            </w:r>
          </w:p>
          <w:p w:rsidR="0017553A" w:rsidRDefault="0017553A">
            <w:pPr>
              <w:spacing w:after="0"/>
              <w:rPr>
                <w:sz w:val="20"/>
                <w:szCs w:val="20"/>
                <w:lang w:val="sr-Cyrl-CS" w:eastAsia="en-GB"/>
              </w:rPr>
            </w:pPr>
            <w:r>
              <w:rPr>
                <w:sz w:val="20"/>
                <w:szCs w:val="20"/>
                <w:lang w:val="sr-Cyrl-CS" w:eastAsia="en-GB"/>
              </w:rPr>
              <w:t>У национално законодавство није  пренета одредба 6.1.ф)  Уредбе, а</w:t>
            </w:r>
            <w:r>
              <w:rPr>
                <w:sz w:val="20"/>
                <w:szCs w:val="20"/>
                <w:lang w:val="sr-Latn-CS" w:eastAsia="en-GB"/>
              </w:rPr>
              <w:t xml:space="preserve"> </w:t>
            </w:r>
            <w:r>
              <w:rPr>
                <w:sz w:val="20"/>
                <w:szCs w:val="20"/>
                <w:lang w:val="sr-Cyrl-CS" w:eastAsia="en-GB"/>
              </w:rPr>
              <w:t xml:space="preserve"> обавезе које произлазе из ове одредбе биће  преузете општим актом  Института .</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lastRenderedPageBreak/>
              <w:t>6.2.</w:t>
            </w:r>
          </w:p>
        </w:tc>
        <w:tc>
          <w:tcPr>
            <w:tcW w:w="4583" w:type="dxa"/>
            <w:gridSpan w:val="2"/>
            <w:tcBorders>
              <w:top w:val="single" w:sz="4" w:space="0" w:color="000000"/>
              <w:left w:val="single" w:sz="4" w:space="0" w:color="000000"/>
              <w:bottom w:val="single" w:sz="4" w:space="0" w:color="000000"/>
              <w:right w:val="single" w:sz="4" w:space="0" w:color="000000"/>
            </w:tcBorders>
          </w:tcPr>
          <w:p w:rsidR="0017553A" w:rsidRDefault="0017553A">
            <w:pPr>
              <w:pStyle w:val="CM4"/>
              <w:rPr>
                <w:rFonts w:ascii="Times New Roman" w:hAnsi="Times New Roman"/>
                <w:sz w:val="20"/>
                <w:szCs w:val="20"/>
                <w:lang w:eastAsia="en-GB"/>
              </w:rPr>
            </w:pPr>
            <w:r>
              <w:rPr>
                <w:rFonts w:ascii="Times New Roman" w:hAnsi="Times New Roman"/>
                <w:sz w:val="20"/>
                <w:szCs w:val="20"/>
                <w:lang w:eastAsia="en-GB"/>
              </w:rPr>
              <w:t xml:space="preserve"> National standardisation bodies shall exchange best practices aiming to enhance the participation of SMEs in standardisation activities and to increase and facilitate the use of standards by SMEs. </w:t>
            </w:r>
          </w:p>
          <w:p w:rsidR="0017553A" w:rsidRDefault="0017553A">
            <w:pPr>
              <w:rPr>
                <w:rFonts w:ascii="Times New Roman" w:hAnsi="Times New Roman"/>
                <w:b/>
                <w:sz w:val="20"/>
                <w:szCs w:val="20"/>
                <w:lang w:val="sr-Cyrl-CS" w:eastAsia="en-GB"/>
              </w:rPr>
            </w:pP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val="sr-Cyrl-CS" w:eastAsia="en-GB"/>
              </w:rPr>
              <w:t>0.1</w:t>
            </w:r>
          </w:p>
          <w:p w:rsidR="0017553A" w:rsidRDefault="0017553A">
            <w:pPr>
              <w:spacing w:after="0"/>
              <w:rPr>
                <w:b/>
                <w:sz w:val="20"/>
                <w:szCs w:val="20"/>
                <w:lang w:val="sr-Cyrl-CS" w:eastAsia="en-GB"/>
              </w:rPr>
            </w:pPr>
            <w:r>
              <w:rPr>
                <w:b/>
                <w:sz w:val="20"/>
                <w:szCs w:val="20"/>
                <w:lang w:val="sr-Cyrl-CS" w:eastAsia="en-GB"/>
              </w:rPr>
              <w:t>12. 10.</w:t>
            </w:r>
          </w:p>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hideMark/>
          </w:tcPr>
          <w:p w:rsidR="0017553A" w:rsidRDefault="0017553A">
            <w:pPr>
              <w:pStyle w:val="stil1tekst"/>
              <w:ind w:left="0" w:right="26" w:firstLine="0"/>
              <w:jc w:val="left"/>
              <w:rPr>
                <w:sz w:val="20"/>
                <w:szCs w:val="20"/>
                <w:lang w:val="sr-Cyrl-CS"/>
              </w:rPr>
            </w:pPr>
            <w:r>
              <w:rPr>
                <w:sz w:val="20"/>
                <w:szCs w:val="20"/>
                <w:lang w:val="en-GB"/>
              </w:rPr>
              <w:t>ИНСТИТУТ РАЗМЕЊУЈЕ НАЈБОЉЕ ПРАКСЕ СА ЦИЉЕМ ПОДСТИЦАЊА УЧЕШЋА МАЛИХ И СРЕДЊИХ ПРИВРЕДНИХ ДРУШТАВА  У АКТИВНОСТИМА СТАНДАРДИЗАЦИЈЕ.</w:t>
            </w: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ПУ</w:t>
            </w:r>
          </w:p>
        </w:tc>
        <w:tc>
          <w:tcPr>
            <w:tcW w:w="2410" w:type="dxa"/>
            <w:gridSpan w:val="2"/>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Height w:val="2343"/>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6.3.</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eastAsia="en-GB"/>
              </w:rPr>
            </w:pPr>
            <w:r>
              <w:rPr>
                <w:sz w:val="20"/>
                <w:szCs w:val="20"/>
                <w:lang w:eastAsia="en-GB"/>
              </w:rPr>
              <w:t>National standardisation bodies shall send annual reports to the European standardisation organisations with regards to their activities in paragraphs 1 and 2 and all other measures to improve conditions for SMEs to use standards and to participate in the standards development process. The national standardisation bodies shall publish those reports on their websites</w:t>
            </w:r>
          </w:p>
        </w:tc>
        <w:tc>
          <w:tcPr>
            <w:tcW w:w="993"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0.1.</w:t>
            </w:r>
          </w:p>
          <w:p w:rsidR="0017553A" w:rsidRDefault="0017553A">
            <w:pPr>
              <w:spacing w:after="0"/>
              <w:rPr>
                <w:b/>
                <w:sz w:val="20"/>
                <w:szCs w:val="20"/>
                <w:lang w:val="sr-Cyrl-CS" w:eastAsia="en-GB"/>
              </w:rPr>
            </w:pPr>
            <w:r>
              <w:rPr>
                <w:b/>
                <w:sz w:val="20"/>
                <w:szCs w:val="20"/>
                <w:lang w:val="sr-Cyrl-CS" w:eastAsia="en-GB"/>
              </w:rPr>
              <w:t>7.1.7.</w:t>
            </w: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rPr>
            </w:pPr>
            <w:r>
              <w:rPr>
                <w:sz w:val="20"/>
                <w:szCs w:val="20"/>
                <w:lang w:val="sr-Cyrl-CS"/>
              </w:rPr>
              <w:t>И</w:t>
            </w:r>
            <w:r>
              <w:rPr>
                <w:sz w:val="20"/>
                <w:szCs w:val="20"/>
              </w:rPr>
              <w:t>звршава задатке у вези са стандардизацијом, у складу са обавезама из потврђених међународних споразума чији је потписник Република Србија;</w:t>
            </w:r>
          </w:p>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ДУ</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 xml:space="preserve">Образложење оцене: </w:t>
            </w:r>
          </w:p>
          <w:p w:rsidR="0017553A" w:rsidRDefault="0017553A">
            <w:pPr>
              <w:spacing w:after="0"/>
              <w:rPr>
                <w:sz w:val="20"/>
                <w:szCs w:val="20"/>
                <w:highlight w:val="yellow"/>
                <w:lang w:val="sr-Cyrl-CS" w:eastAsia="en-GB"/>
              </w:rPr>
            </w:pPr>
            <w:r>
              <w:rPr>
                <w:sz w:val="20"/>
                <w:szCs w:val="20"/>
                <w:lang w:val="sr-Cyrl-CS" w:eastAsia="en-GB"/>
              </w:rPr>
              <w:t>У национално законодавство није  пренета одредба 6.3.  Уредбе, а</w:t>
            </w:r>
            <w:r>
              <w:rPr>
                <w:sz w:val="20"/>
                <w:szCs w:val="20"/>
                <w:lang w:val="sr-Latn-CS" w:eastAsia="en-GB"/>
              </w:rPr>
              <w:t xml:space="preserve"> </w:t>
            </w:r>
            <w:r>
              <w:rPr>
                <w:sz w:val="20"/>
                <w:szCs w:val="20"/>
                <w:lang w:val="sr-Cyrl-CS" w:eastAsia="en-GB"/>
              </w:rPr>
              <w:t xml:space="preserve"> обавезе које произлазе из ове одредбе биће  преузете општим актом  Института .</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Height w:val="1714"/>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7.1.</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b/>
                <w:sz w:val="20"/>
                <w:szCs w:val="20"/>
                <w:lang w:val="sr-Cyrl-CS" w:eastAsia="en-GB"/>
              </w:rPr>
            </w:pPr>
            <w:r>
              <w:rPr>
                <w:sz w:val="20"/>
                <w:szCs w:val="20"/>
                <w:lang w:eastAsia="en-GB"/>
              </w:rPr>
              <w:t>Member States shall, where appropriate, encourage participation of public authorities, including market surveillance authorities, in national standardisation activities aimed at the development or revision of standards requested by the Commission in accordance with Article 10.EN 14.11.2012 Official Journal of the European Union L 316/21</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Latn-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Latn-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Образложење оцене:  Одредба 7.1.</w:t>
            </w:r>
            <w:r>
              <w:rPr>
                <w:b/>
                <w:sz w:val="20"/>
                <w:szCs w:val="20"/>
                <w:lang w:val="sr-Cyrl-CS" w:eastAsia="en-GB"/>
              </w:rPr>
              <w:t xml:space="preserve"> </w:t>
            </w:r>
            <w:r>
              <w:rPr>
                <w:sz w:val="20"/>
                <w:szCs w:val="20"/>
                <w:lang w:val="sr-Cyrl-CS" w:eastAsia="en-GB"/>
              </w:rPr>
              <w:t>Уредбе није пренета Законом,  јер Република Србија није чланица ЕУ.</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Height w:val="1814"/>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8.1.</w:t>
            </w:r>
          </w:p>
        </w:tc>
        <w:tc>
          <w:tcPr>
            <w:tcW w:w="4583" w:type="dxa"/>
            <w:gridSpan w:val="2"/>
            <w:tcBorders>
              <w:top w:val="single" w:sz="4" w:space="0" w:color="000000"/>
              <w:left w:val="single" w:sz="4" w:space="0" w:color="000000"/>
              <w:bottom w:val="single" w:sz="4" w:space="0" w:color="000000"/>
              <w:right w:val="single" w:sz="4" w:space="0" w:color="000000"/>
            </w:tcBorders>
          </w:tcPr>
          <w:p w:rsidR="0017553A" w:rsidRDefault="0017553A">
            <w:pPr>
              <w:pStyle w:val="CM4"/>
              <w:rPr>
                <w:rFonts w:ascii="Times New Roman" w:hAnsi="Times New Roman"/>
                <w:sz w:val="20"/>
                <w:szCs w:val="20"/>
                <w:lang w:eastAsia="en-GB"/>
              </w:rPr>
            </w:pPr>
            <w:r>
              <w:rPr>
                <w:rFonts w:ascii="Times New Roman" w:hAnsi="Times New Roman"/>
                <w:sz w:val="20"/>
                <w:szCs w:val="20"/>
                <w:lang w:eastAsia="en-GB"/>
              </w:rPr>
              <w:t xml:space="preserve">The Commission shall adopt an annual Union work programme for European standardisation which shall identify strategic priorities for European standardisation, taking into account Union long-term strategies for growth. It shall indicate the European standards and European standardisation deliverables that the Commission intends to request from the European standardisation organisations in accordance with Article 10. </w:t>
            </w:r>
          </w:p>
          <w:p w:rsidR="0017553A" w:rsidRDefault="0017553A">
            <w:pPr>
              <w:rPr>
                <w:rFonts w:ascii="Times New Roman" w:hAnsi="Times New Roman"/>
                <w:sz w:val="20"/>
                <w:szCs w:val="20"/>
                <w:lang w:val="sr-Cyrl-CS" w:eastAsia="en-GB"/>
              </w:rPr>
            </w:pP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 xml:space="preserve">Образложење оцене: Одредба 8.1. Уредбе није пренета Законом, јер прописује обавезе Европске комисије. </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Height w:val="1668"/>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lastRenderedPageBreak/>
              <w:t>8.2.</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eastAsia="en-GB"/>
              </w:rPr>
            </w:pPr>
            <w:r>
              <w:rPr>
                <w:sz w:val="20"/>
                <w:szCs w:val="20"/>
                <w:lang w:eastAsia="en-GB"/>
              </w:rPr>
              <w:t>The annual Union work programme for European standardisation shall define the specific objectives and policies for the European standards and European standardisation deliverables that the Commission intends to request from the European standardisation organisations in accordance with Article 10. In cases of urgency the Commission can issue requests without prior indication</w:t>
            </w:r>
            <w:r>
              <w:rPr>
                <w:sz w:val="20"/>
                <w:szCs w:val="20"/>
                <w:lang w:val="sr-Cyrl-CS" w:eastAsia="en-GB"/>
              </w:rPr>
              <w:t>.</w:t>
            </w:r>
            <w:r>
              <w:rPr>
                <w:sz w:val="20"/>
                <w:szCs w:val="20"/>
                <w:lang w:eastAsia="en-GB"/>
              </w:rPr>
              <w:tab/>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Образложење оцене: Одредба 8.2. Уредбе није пренета Законом, јер прописује обавезе Европске комисије.</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Height w:val="1257"/>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8.3.</w:t>
            </w:r>
          </w:p>
        </w:tc>
        <w:tc>
          <w:tcPr>
            <w:tcW w:w="4583" w:type="dxa"/>
            <w:gridSpan w:val="2"/>
            <w:tcBorders>
              <w:top w:val="single" w:sz="4" w:space="0" w:color="000000"/>
              <w:left w:val="single" w:sz="4" w:space="0" w:color="000000"/>
              <w:bottom w:val="single" w:sz="4" w:space="0" w:color="000000"/>
              <w:right w:val="single" w:sz="4" w:space="0" w:color="000000"/>
            </w:tcBorders>
          </w:tcPr>
          <w:p w:rsidR="0017553A" w:rsidRDefault="0017553A">
            <w:pPr>
              <w:pStyle w:val="CM4"/>
              <w:jc w:val="both"/>
              <w:rPr>
                <w:rFonts w:ascii="Times New Roman" w:hAnsi="Times New Roman"/>
                <w:sz w:val="20"/>
                <w:szCs w:val="20"/>
                <w:lang w:eastAsia="en-GB"/>
              </w:rPr>
            </w:pPr>
            <w:r>
              <w:rPr>
                <w:rFonts w:ascii="Times New Roman" w:hAnsi="Times New Roman"/>
                <w:sz w:val="20"/>
                <w:szCs w:val="20"/>
                <w:lang w:eastAsia="en-GB"/>
              </w:rPr>
              <w:t xml:space="preserve">The annual Union work programme for European standardisation shall also include objectives for the international dimension of European standardisation, in support of Union legislation and policies. </w:t>
            </w:r>
          </w:p>
          <w:p w:rsidR="0017553A" w:rsidRDefault="0017553A">
            <w:pPr>
              <w:rPr>
                <w:rFonts w:ascii="Times New Roman" w:hAnsi="Times New Roman"/>
                <w:sz w:val="20"/>
                <w:szCs w:val="20"/>
                <w:lang w:val="sr-Cyrl-CS" w:eastAsia="en-GB"/>
              </w:rPr>
            </w:pP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Образложење оцене: Одредба 8.3. Уредбе није пренета Законом, јер прописује обавезе Европске комисије.</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8.4.</w:t>
            </w:r>
          </w:p>
        </w:tc>
        <w:tc>
          <w:tcPr>
            <w:tcW w:w="4583" w:type="dxa"/>
            <w:gridSpan w:val="2"/>
            <w:tcBorders>
              <w:top w:val="single" w:sz="4" w:space="0" w:color="000000"/>
              <w:left w:val="single" w:sz="4" w:space="0" w:color="000000"/>
              <w:bottom w:val="single" w:sz="4" w:space="0" w:color="000000"/>
              <w:right w:val="single" w:sz="4" w:space="0" w:color="000000"/>
            </w:tcBorders>
          </w:tcPr>
          <w:p w:rsidR="0017553A" w:rsidRDefault="0017553A">
            <w:pPr>
              <w:pStyle w:val="CM4"/>
              <w:jc w:val="both"/>
              <w:rPr>
                <w:rFonts w:ascii="Times New Roman" w:hAnsi="Times New Roman"/>
                <w:sz w:val="20"/>
                <w:szCs w:val="20"/>
                <w:lang w:eastAsia="en-GB"/>
              </w:rPr>
            </w:pPr>
            <w:r>
              <w:rPr>
                <w:rFonts w:ascii="Times New Roman" w:hAnsi="Times New Roman"/>
                <w:sz w:val="20"/>
                <w:szCs w:val="20"/>
                <w:lang w:eastAsia="en-GB"/>
              </w:rPr>
              <w:t xml:space="preserve">The annual Union work programme for European standardisation shall be adopted after having conducted a broad consultation of relevant stakeholders, including European standardisation organisations and European stakeholder organisations receiving Union financing in accordance with this Regulation, and Member States via the committee referred to in Article 22 of this Regulation. </w:t>
            </w:r>
          </w:p>
          <w:p w:rsidR="0017553A" w:rsidRDefault="0017553A">
            <w:pPr>
              <w:rPr>
                <w:rFonts w:ascii="Times New Roman" w:hAnsi="Times New Roman"/>
                <w:sz w:val="20"/>
                <w:szCs w:val="20"/>
                <w:lang w:val="sr-Cyrl-CS" w:eastAsia="en-GB"/>
              </w:rPr>
            </w:pP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 xml:space="preserve">Образложење оцене:  Одредба 8.4. Уредбе није пренета Законом,   јер се односи на начин усвајања годишњег програма рада </w:t>
            </w:r>
            <w:r>
              <w:rPr>
                <w:sz w:val="20"/>
                <w:szCs w:val="20"/>
                <w:lang w:val="ru-RU" w:eastAsia="en-GB"/>
              </w:rPr>
              <w:t xml:space="preserve"> ЕУ </w:t>
            </w:r>
            <w:r>
              <w:rPr>
                <w:sz w:val="20"/>
                <w:szCs w:val="20"/>
                <w:lang w:val="sr-Cyrl-CS" w:eastAsia="en-GB"/>
              </w:rPr>
              <w:t>за  европску стандардизацију.</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Height w:val="1125"/>
        </w:trPr>
        <w:tc>
          <w:tcPr>
            <w:tcW w:w="1371"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eastAsia="en-GB"/>
              </w:rPr>
              <w:lastRenderedPageBreak/>
              <w:t>8.5.</w:t>
            </w:r>
          </w:p>
          <w:p w:rsidR="0017553A" w:rsidRDefault="0017553A">
            <w:pPr>
              <w:spacing w:after="0"/>
              <w:rPr>
                <w:b/>
                <w:sz w:val="20"/>
                <w:szCs w:val="20"/>
                <w:lang w:val="en-GB" w:eastAsia="en-GB"/>
              </w:rPr>
            </w:pP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pStyle w:val="CM4"/>
              <w:jc w:val="both"/>
              <w:rPr>
                <w:rFonts w:ascii="Times New Roman" w:hAnsi="Times New Roman"/>
                <w:sz w:val="20"/>
                <w:szCs w:val="20"/>
                <w:lang w:val="sr-Cyrl-CS" w:eastAsia="en-GB"/>
              </w:rPr>
            </w:pPr>
            <w:r>
              <w:rPr>
                <w:rFonts w:ascii="Times New Roman" w:hAnsi="Times New Roman"/>
                <w:sz w:val="20"/>
                <w:szCs w:val="20"/>
                <w:lang w:eastAsia="en-GB"/>
              </w:rPr>
              <w:t>After its adoption, the Commission shall make the annual Union work programme for European standardisation available on its website.</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rFonts w:ascii="Times New Roman" w:hAnsi="Times New Roman"/>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Образложење оцене:  Одредба 8.</w:t>
            </w:r>
            <w:r>
              <w:rPr>
                <w:sz w:val="20"/>
                <w:szCs w:val="20"/>
                <w:lang w:eastAsia="en-GB"/>
              </w:rPr>
              <w:t>5</w:t>
            </w:r>
            <w:r>
              <w:rPr>
                <w:sz w:val="20"/>
                <w:szCs w:val="20"/>
                <w:lang w:val="sr-Cyrl-CS" w:eastAsia="en-GB"/>
              </w:rPr>
              <w:t>. Уредбе није пренета Законом</w:t>
            </w:r>
            <w:r>
              <w:rPr>
                <w:sz w:val="20"/>
                <w:szCs w:val="20"/>
                <w:lang w:eastAsia="en-GB"/>
              </w:rPr>
              <w:t xml:space="preserve">, </w:t>
            </w:r>
            <w:r>
              <w:rPr>
                <w:sz w:val="20"/>
                <w:szCs w:val="20"/>
                <w:lang w:val="sr-Cyrl-CS" w:eastAsia="en-GB"/>
              </w:rPr>
              <w:t>јер прописује обавезе Европске комисије .</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9.1.</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pStyle w:val="CM4"/>
              <w:rPr>
                <w:rFonts w:ascii="Times New Roman" w:hAnsi="Times New Roman"/>
                <w:sz w:val="20"/>
                <w:szCs w:val="20"/>
                <w:lang w:val="sr-Cyrl-CS" w:eastAsia="en-GB"/>
              </w:rPr>
            </w:pPr>
            <w:r>
              <w:rPr>
                <w:rFonts w:ascii="Times New Roman" w:hAnsi="Times New Roman"/>
                <w:sz w:val="20"/>
                <w:szCs w:val="20"/>
                <w:lang w:eastAsia="en-GB"/>
              </w:rPr>
              <w:t xml:space="preserve">The Commission’s research facilities shall contribute to the preparation of the annual Union work programme for European standardisation referred to in Article 8 and provide European standardisation organisations with scientific input, in their areas of expertise, to ensure that European standards take into account economic competitiveness and societal needs such as environmental sustainability and safety and security concerns. </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rFonts w:ascii="Times New Roman" w:hAnsi="Times New Roman"/>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Образложење оцене: Одредба 9.1. Уредбе није пренета Законом, јер прописује обавезе Европске комисије.</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Height w:val="2284"/>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10.1.</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eastAsia="en-GB"/>
              </w:rPr>
            </w:pPr>
            <w:r>
              <w:rPr>
                <w:sz w:val="20"/>
                <w:szCs w:val="20"/>
                <w:lang w:eastAsia="en-GB"/>
              </w:rPr>
              <w:t xml:space="preserve">The Commission may within the limitations of the competences laid down in the Treaties, request one or several European standardisation organisations to draft a European standard or European standardisation deliverable within a set deadline. European standards and European standardisation deliverables shall be market-driven, take into account the public interest as well as the policy objectives clearly stated in the Commission’s request and based on consensus. The Commission shall determine the requirements as to the content to be met by the requested ocument and a deadline for its adoption. </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 xml:space="preserve">Образложење оцене: Одредба 10.1. Уредбе није пренета Законом,  јер се односи   на права  Европске комисије према  европским организацијама  за стандардизацију. </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10.2.</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eastAsia="en-GB"/>
              </w:rPr>
            </w:pPr>
            <w:r>
              <w:rPr>
                <w:sz w:val="20"/>
                <w:szCs w:val="20"/>
                <w:lang w:eastAsia="en-GB"/>
              </w:rPr>
              <w:t xml:space="preserve"> The decisions referred to in paragraph 1 shall be adopted in accordance with the procedure laid down in Article 22(3) after consultation of the European standardisation organisations and the European </w:t>
            </w:r>
            <w:r>
              <w:rPr>
                <w:sz w:val="20"/>
                <w:szCs w:val="20"/>
                <w:lang w:eastAsia="en-GB"/>
              </w:rPr>
              <w:lastRenderedPageBreak/>
              <w:t xml:space="preserve">stakeholder organisations receiving Union financing in accordance with this Regulation as well as the committee set up by the corresponding Union legislation, when such a committee exists, or after other forms of consultation of sectoral experts. </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 xml:space="preserve">Образложење оцене: Одредба 10.2. Уредбе није пренета Законом, јер  прописује обавезе  </w:t>
            </w:r>
            <w:r>
              <w:rPr>
                <w:sz w:val="20"/>
                <w:szCs w:val="20"/>
                <w:lang w:val="sr-Cyrl-CS" w:eastAsia="en-GB"/>
              </w:rPr>
              <w:lastRenderedPageBreak/>
              <w:t>европских организација   за стандардизацију.</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lastRenderedPageBreak/>
              <w:t>10.3.</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eastAsia="en-GB"/>
              </w:rPr>
            </w:pPr>
            <w:r>
              <w:rPr>
                <w:sz w:val="20"/>
                <w:szCs w:val="20"/>
                <w:lang w:eastAsia="en-GB"/>
              </w:rPr>
              <w:t xml:space="preserve">The relevant European standardisation organisation shall indicate, within one month following its receipt, if it accepts the request referred to in paragraph 1. </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val="sr-Cyrl-CS" w:eastAsia="en-GB"/>
              </w:rPr>
              <w:t>НП</w:t>
            </w: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Образложење оцене: Одредба 10.3. Уредбе није пренета Законом, јер прописује обавезе европских организација за стандардизацију.</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10.4.</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eastAsia="en-GB"/>
              </w:rPr>
            </w:pPr>
            <w:r>
              <w:rPr>
                <w:sz w:val="20"/>
                <w:szCs w:val="20"/>
                <w:lang w:eastAsia="en-GB"/>
              </w:rPr>
              <w:t xml:space="preserve">Where a request for funding is made, the Commission shall inform the relevant European standardisation organisations, within two months following the receipt of the acceptance referred to in paragraph 3, about the award of a grant for drafting a European standard or a European standardisation deliverable. </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val="sr-Cyrl-CS" w:eastAsia="en-GB"/>
              </w:rPr>
              <w:t>НП</w:t>
            </w:r>
          </w:p>
          <w:p w:rsidR="0017553A" w:rsidRDefault="0017553A">
            <w:pPr>
              <w:spacing w:after="0"/>
              <w:rPr>
                <w:b/>
                <w:sz w:val="20"/>
                <w:szCs w:val="20"/>
                <w:lang w:val="sr-Cyrl-CS" w:eastAsia="en-GB"/>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Образложење оцене: Одредба 10.4. Уредбе није пренета Законом, јер прописује обавезе Европске комисије.</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10.5.</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eastAsia="en-GB"/>
              </w:rPr>
            </w:pPr>
            <w:r>
              <w:rPr>
                <w:sz w:val="20"/>
                <w:szCs w:val="20"/>
                <w:lang w:eastAsia="en-GB"/>
              </w:rPr>
              <w:t>The European standardisation organisations shall inform the Commission about the activities undertaken for the development of the documents referred to in paragraph 1. The Commission together with the European standardisation organisations shall assess the compliance of the documents drafted by the European standardisation organisations with its initial request</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val="sr-Cyrl-CS" w:eastAsia="en-GB"/>
              </w:rPr>
              <w:t>НП</w:t>
            </w:r>
          </w:p>
          <w:p w:rsidR="0017553A" w:rsidRDefault="0017553A">
            <w:pPr>
              <w:spacing w:after="0"/>
              <w:rPr>
                <w:b/>
                <w:sz w:val="20"/>
                <w:szCs w:val="20"/>
                <w:lang w:val="sr-Cyrl-CS" w:eastAsia="en-GB"/>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Образложење оцене: Одредба 10.5. Уредбе није пренета Законом, јер прописује обавезе европских организација за стандардизацију и Европске комисије.</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Height w:val="1712"/>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lastRenderedPageBreak/>
              <w:t>10.6.</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eastAsia="en-GB"/>
              </w:rPr>
            </w:pPr>
            <w:r>
              <w:rPr>
                <w:sz w:val="20"/>
                <w:szCs w:val="20"/>
                <w:lang w:eastAsia="en-GB"/>
              </w:rPr>
              <w:t xml:space="preserve">Where a harmonised standard satisfies the requirements which it aims to cover and which are set out in the corresponding Union harmonisation legislation, the Commission shall publish a reference of such harmonised standard without delay in the </w:t>
            </w:r>
            <w:r>
              <w:rPr>
                <w:i/>
                <w:iCs/>
                <w:sz w:val="20"/>
                <w:szCs w:val="20"/>
                <w:lang w:eastAsia="en-GB"/>
              </w:rPr>
              <w:t xml:space="preserve">Official Journal of the European Union </w:t>
            </w:r>
            <w:r>
              <w:rPr>
                <w:sz w:val="20"/>
                <w:szCs w:val="20"/>
                <w:lang w:eastAsia="en-GB"/>
              </w:rPr>
              <w:t>or by other means in accordance with the conditions laid down in the corresponding act of Union harmonisation legislation.</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val="sr-Cyrl-CS" w:eastAsia="en-GB"/>
              </w:rPr>
              <w:t>НП</w:t>
            </w:r>
          </w:p>
          <w:p w:rsidR="0017553A" w:rsidRDefault="0017553A">
            <w:pPr>
              <w:spacing w:after="0"/>
              <w:rPr>
                <w:b/>
                <w:sz w:val="20"/>
                <w:szCs w:val="20"/>
                <w:lang w:val="sr-Cyrl-CS" w:eastAsia="en-GB"/>
              </w:rPr>
            </w:pPr>
          </w:p>
        </w:tc>
        <w:tc>
          <w:tcPr>
            <w:tcW w:w="2410" w:type="dxa"/>
            <w:gridSpan w:val="2"/>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r>
              <w:rPr>
                <w:sz w:val="20"/>
                <w:szCs w:val="20"/>
                <w:lang w:val="sr-Cyrl-CS" w:eastAsia="en-GB"/>
              </w:rPr>
              <w:t xml:space="preserve">Образложење оцене: Одредба 10.6. Уредбе није пренета Законом, јер прописује обавезе </w:t>
            </w:r>
          </w:p>
          <w:p w:rsidR="0017553A" w:rsidRDefault="0017553A">
            <w:pPr>
              <w:spacing w:after="0"/>
              <w:rPr>
                <w:sz w:val="20"/>
                <w:szCs w:val="20"/>
                <w:lang w:val="sr-Cyrl-CS" w:eastAsia="en-GB"/>
              </w:rPr>
            </w:pPr>
            <w:r>
              <w:rPr>
                <w:sz w:val="20"/>
                <w:szCs w:val="20"/>
                <w:lang w:val="sr-Cyrl-CS" w:eastAsia="en-GB"/>
              </w:rPr>
              <w:t>Европске комисије.</w:t>
            </w:r>
          </w:p>
          <w:p w:rsidR="0017553A" w:rsidRDefault="0017553A">
            <w:pPr>
              <w:spacing w:after="0"/>
              <w:rPr>
                <w:sz w:val="20"/>
                <w:szCs w:val="20"/>
                <w:lang w:val="sr-Cyrl-CS" w:eastAsia="en-GB"/>
              </w:rPr>
            </w:pPr>
          </w:p>
          <w:p w:rsidR="0017553A" w:rsidRDefault="0017553A">
            <w:pPr>
              <w:spacing w:after="0"/>
              <w:rPr>
                <w:sz w:val="20"/>
                <w:szCs w:val="20"/>
                <w:lang w:val="sr-Cyrl-CS" w:eastAsia="en-GB"/>
              </w:rPr>
            </w:pP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11.1.</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eastAsia="en-GB"/>
              </w:rPr>
            </w:pPr>
            <w:r>
              <w:rPr>
                <w:sz w:val="20"/>
                <w:szCs w:val="20"/>
                <w:lang w:eastAsia="en-GB"/>
              </w:rPr>
              <w:t xml:space="preserve">When a Member State or the European Parliament considers that a harmonised standard does not entirely satisfy the requirements which it aims to cover and which are set out in the relevant Union harmonisation legislation, it shall inform the Commission thereof with a detailed explanation and the Commission shall, after consulting the committee set up by the corresponding Union harmonisation legislation, if it exists, or after other forms of consultation of sectoral experts, decide: </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val="sr-Cyrl-CS" w:eastAsia="en-GB"/>
              </w:rPr>
              <w:t>НП</w:t>
            </w:r>
          </w:p>
          <w:p w:rsidR="0017553A" w:rsidRDefault="0017553A">
            <w:pPr>
              <w:spacing w:after="0"/>
              <w:rPr>
                <w:b/>
                <w:sz w:val="20"/>
                <w:szCs w:val="20"/>
                <w:lang w:val="sr-Cyrl-CS" w:eastAsia="en-GB"/>
              </w:rPr>
            </w:pPr>
          </w:p>
        </w:tc>
        <w:tc>
          <w:tcPr>
            <w:tcW w:w="2410" w:type="dxa"/>
            <w:gridSpan w:val="2"/>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r>
              <w:rPr>
                <w:sz w:val="20"/>
                <w:szCs w:val="20"/>
                <w:lang w:val="sr-Cyrl-CS" w:eastAsia="en-GB"/>
              </w:rPr>
              <w:t xml:space="preserve">Образложење оцене: Одредба 11.1. Уредбе није пренета Законом, јер прописује обавезе </w:t>
            </w:r>
          </w:p>
          <w:p w:rsidR="0017553A" w:rsidRDefault="0017553A">
            <w:pPr>
              <w:spacing w:after="0"/>
              <w:rPr>
                <w:sz w:val="20"/>
                <w:szCs w:val="20"/>
                <w:lang w:val="sr-Cyrl-CS" w:eastAsia="en-GB"/>
              </w:rPr>
            </w:pPr>
            <w:r>
              <w:rPr>
                <w:sz w:val="20"/>
                <w:szCs w:val="20"/>
                <w:lang w:val="sr-Cyrl-CS" w:eastAsia="en-GB"/>
              </w:rPr>
              <w:t>држава чланица ЕУ и Европске комисије.</w:t>
            </w:r>
          </w:p>
          <w:p w:rsidR="0017553A" w:rsidRDefault="0017553A">
            <w:pPr>
              <w:spacing w:after="0"/>
              <w:rPr>
                <w:sz w:val="20"/>
                <w:szCs w:val="20"/>
                <w:lang w:val="sr-Cyrl-CS" w:eastAsia="en-GB"/>
              </w:rPr>
            </w:pPr>
          </w:p>
          <w:p w:rsidR="0017553A" w:rsidRDefault="0017553A">
            <w:pPr>
              <w:spacing w:after="0"/>
              <w:rPr>
                <w:sz w:val="20"/>
                <w:szCs w:val="20"/>
                <w:lang w:val="sr-Cyrl-CS" w:eastAsia="en-GB"/>
              </w:rPr>
            </w:pP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11.1.a)</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eastAsia="en-GB"/>
              </w:rPr>
            </w:pPr>
            <w:r>
              <w:rPr>
                <w:sz w:val="20"/>
                <w:szCs w:val="20"/>
                <w:lang w:eastAsia="en-GB"/>
              </w:rPr>
              <w:t xml:space="preserve">to publish, not to publish or to publish with restriction the references to the harmonised standard concerned in the </w:t>
            </w:r>
            <w:r>
              <w:rPr>
                <w:i/>
                <w:iCs/>
                <w:sz w:val="20"/>
                <w:szCs w:val="20"/>
                <w:lang w:eastAsia="en-GB"/>
              </w:rPr>
              <w:t>Official Journal of the European Union</w:t>
            </w:r>
            <w:r>
              <w:rPr>
                <w:sz w:val="20"/>
                <w:szCs w:val="20"/>
                <w:lang w:eastAsia="en-GB"/>
              </w:rPr>
              <w:t>;EN L 316/22 Official Journal of the European Union 14.11.2012</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val="sr-Cyrl-CS" w:eastAsia="en-GB"/>
              </w:rPr>
              <w:t>НП</w:t>
            </w:r>
          </w:p>
          <w:p w:rsidR="0017553A" w:rsidRDefault="0017553A">
            <w:pPr>
              <w:spacing w:after="0"/>
              <w:rPr>
                <w:b/>
                <w:sz w:val="20"/>
                <w:szCs w:val="20"/>
                <w:lang w:val="sr-Cyrl-CS" w:eastAsia="en-GB"/>
              </w:rPr>
            </w:pPr>
          </w:p>
        </w:tc>
        <w:tc>
          <w:tcPr>
            <w:tcW w:w="2410" w:type="dxa"/>
            <w:gridSpan w:val="2"/>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r>
              <w:rPr>
                <w:sz w:val="20"/>
                <w:szCs w:val="20"/>
                <w:lang w:val="sr-Cyrl-CS" w:eastAsia="en-GB"/>
              </w:rPr>
              <w:t xml:space="preserve">Образложење оцене: Одредба 11.1.а) Уредбе није пренета Законом, јер прописује обавезе </w:t>
            </w:r>
          </w:p>
          <w:p w:rsidR="0017553A" w:rsidRDefault="0017553A">
            <w:pPr>
              <w:spacing w:after="0"/>
              <w:rPr>
                <w:sz w:val="20"/>
                <w:szCs w:val="20"/>
                <w:lang w:val="sr-Cyrl-CS" w:eastAsia="en-GB"/>
              </w:rPr>
            </w:pPr>
            <w:r>
              <w:rPr>
                <w:sz w:val="20"/>
                <w:szCs w:val="20"/>
                <w:lang w:val="sr-Cyrl-CS" w:eastAsia="en-GB"/>
              </w:rPr>
              <w:t>Европске комисије.</w:t>
            </w:r>
          </w:p>
          <w:p w:rsidR="0017553A" w:rsidRDefault="0017553A">
            <w:pPr>
              <w:spacing w:after="0"/>
              <w:rPr>
                <w:sz w:val="20"/>
                <w:szCs w:val="20"/>
                <w:lang w:val="sr-Cyrl-CS" w:eastAsia="en-GB"/>
              </w:rPr>
            </w:pP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11.1.b)</w:t>
            </w:r>
          </w:p>
        </w:tc>
        <w:tc>
          <w:tcPr>
            <w:tcW w:w="4583" w:type="dxa"/>
            <w:gridSpan w:val="2"/>
            <w:tcBorders>
              <w:top w:val="single" w:sz="4" w:space="0" w:color="000000"/>
              <w:left w:val="single" w:sz="4" w:space="0" w:color="000000"/>
              <w:bottom w:val="single" w:sz="4" w:space="0" w:color="000000"/>
              <w:right w:val="single" w:sz="4" w:space="0" w:color="000000"/>
            </w:tcBorders>
          </w:tcPr>
          <w:p w:rsidR="0017553A" w:rsidRDefault="0017553A">
            <w:pPr>
              <w:pStyle w:val="CM4"/>
              <w:jc w:val="both"/>
              <w:rPr>
                <w:rFonts w:ascii="Times New Roman" w:hAnsi="Times New Roman"/>
                <w:sz w:val="20"/>
                <w:szCs w:val="20"/>
                <w:lang w:eastAsia="en-GB"/>
              </w:rPr>
            </w:pPr>
            <w:r>
              <w:rPr>
                <w:rFonts w:ascii="Times New Roman" w:hAnsi="Times New Roman"/>
                <w:sz w:val="20"/>
                <w:szCs w:val="20"/>
                <w:lang w:eastAsia="en-GB"/>
              </w:rPr>
              <w:t xml:space="preserve">to maintain, to maintain with restriction or to withdraw the references to the harmonised standard concerned in or from the </w:t>
            </w:r>
            <w:r>
              <w:rPr>
                <w:rFonts w:ascii="Times New Roman" w:hAnsi="Times New Roman"/>
                <w:i/>
                <w:iCs/>
                <w:sz w:val="20"/>
                <w:szCs w:val="20"/>
                <w:lang w:eastAsia="en-GB"/>
              </w:rPr>
              <w:t>Official Journal of the European Union</w:t>
            </w:r>
            <w:r>
              <w:rPr>
                <w:rFonts w:ascii="Times New Roman" w:hAnsi="Times New Roman"/>
                <w:sz w:val="20"/>
                <w:szCs w:val="20"/>
                <w:lang w:eastAsia="en-GB"/>
              </w:rPr>
              <w:t xml:space="preserve">. </w:t>
            </w:r>
          </w:p>
          <w:p w:rsidR="0017553A" w:rsidRDefault="0017553A">
            <w:pPr>
              <w:rPr>
                <w:rFonts w:ascii="Times New Roman" w:hAnsi="Times New Roman"/>
                <w:sz w:val="20"/>
                <w:szCs w:val="20"/>
                <w:lang w:val="sr-Cyrl-CS" w:eastAsia="en-GB"/>
              </w:rPr>
            </w:pP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val="sr-Cyrl-CS" w:eastAsia="en-GB"/>
              </w:rPr>
              <w:t>НП</w:t>
            </w:r>
          </w:p>
          <w:p w:rsidR="0017553A" w:rsidRDefault="0017553A">
            <w:pPr>
              <w:spacing w:after="0"/>
              <w:rPr>
                <w:b/>
                <w:sz w:val="20"/>
                <w:szCs w:val="20"/>
                <w:lang w:val="sr-Cyrl-CS" w:eastAsia="en-GB"/>
              </w:rPr>
            </w:pPr>
          </w:p>
        </w:tc>
        <w:tc>
          <w:tcPr>
            <w:tcW w:w="2410" w:type="dxa"/>
            <w:gridSpan w:val="2"/>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r>
              <w:rPr>
                <w:sz w:val="20"/>
                <w:szCs w:val="20"/>
                <w:lang w:val="sr-Cyrl-CS" w:eastAsia="en-GB"/>
              </w:rPr>
              <w:t xml:space="preserve">Образложење оцене: Одредба 11.1.б) Уредбе </w:t>
            </w:r>
            <w:r>
              <w:rPr>
                <w:sz w:val="20"/>
                <w:szCs w:val="20"/>
                <w:lang w:val="sr-Cyrl-CS" w:eastAsia="en-GB"/>
              </w:rPr>
              <w:lastRenderedPageBreak/>
              <w:t xml:space="preserve">није пренета Законом, јер прописује обавезе </w:t>
            </w:r>
          </w:p>
          <w:p w:rsidR="0017553A" w:rsidRDefault="0017553A">
            <w:pPr>
              <w:spacing w:after="0"/>
              <w:rPr>
                <w:sz w:val="20"/>
                <w:szCs w:val="20"/>
                <w:lang w:val="sr-Cyrl-CS" w:eastAsia="en-GB"/>
              </w:rPr>
            </w:pPr>
            <w:r>
              <w:rPr>
                <w:sz w:val="20"/>
                <w:szCs w:val="20"/>
                <w:lang w:val="sr-Cyrl-CS" w:eastAsia="en-GB"/>
              </w:rPr>
              <w:t>Европске комисије.</w:t>
            </w:r>
          </w:p>
          <w:p w:rsidR="0017553A" w:rsidRDefault="0017553A">
            <w:pPr>
              <w:spacing w:after="0"/>
              <w:rPr>
                <w:sz w:val="20"/>
                <w:szCs w:val="20"/>
                <w:lang w:val="sr-Cyrl-CS" w:eastAsia="en-GB"/>
              </w:rPr>
            </w:pP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lastRenderedPageBreak/>
              <w:t>11.2.</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eastAsia="en-GB"/>
              </w:rPr>
              <w:t xml:space="preserve">The Commission shall publish information on its website on the harmonised standards that have been subject to the decision referred to in paragraph 1. </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val="sr-Cyrl-CS" w:eastAsia="en-GB"/>
              </w:rPr>
              <w:t>НП</w:t>
            </w:r>
          </w:p>
          <w:p w:rsidR="0017553A" w:rsidRDefault="0017553A">
            <w:pPr>
              <w:spacing w:after="0"/>
              <w:rPr>
                <w:b/>
                <w:sz w:val="20"/>
                <w:szCs w:val="20"/>
                <w:lang w:val="sr-Cyrl-CS" w:eastAsia="en-GB"/>
              </w:rPr>
            </w:pPr>
          </w:p>
        </w:tc>
        <w:tc>
          <w:tcPr>
            <w:tcW w:w="2410" w:type="dxa"/>
            <w:gridSpan w:val="2"/>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r>
              <w:rPr>
                <w:sz w:val="20"/>
                <w:szCs w:val="20"/>
                <w:lang w:val="sr-Cyrl-CS" w:eastAsia="en-GB"/>
              </w:rPr>
              <w:t xml:space="preserve">Образложење оцене: Одредба 11.2. Уредбе није пренета Законом, јер прописује обавезе </w:t>
            </w:r>
          </w:p>
          <w:p w:rsidR="0017553A" w:rsidRDefault="0017553A">
            <w:pPr>
              <w:spacing w:after="0"/>
              <w:rPr>
                <w:sz w:val="20"/>
                <w:szCs w:val="20"/>
                <w:lang w:val="sr-Cyrl-CS" w:eastAsia="en-GB"/>
              </w:rPr>
            </w:pPr>
            <w:r>
              <w:rPr>
                <w:sz w:val="20"/>
                <w:szCs w:val="20"/>
                <w:lang w:val="sr-Cyrl-CS" w:eastAsia="en-GB"/>
              </w:rPr>
              <w:t>Европске комисије.</w:t>
            </w:r>
          </w:p>
          <w:p w:rsidR="0017553A" w:rsidRDefault="0017553A">
            <w:pPr>
              <w:spacing w:after="0"/>
              <w:rPr>
                <w:sz w:val="20"/>
                <w:szCs w:val="20"/>
                <w:lang w:val="sr-Cyrl-CS" w:eastAsia="en-GB"/>
              </w:rPr>
            </w:pP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11.3.</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eastAsia="en-GB"/>
              </w:rPr>
            </w:pPr>
            <w:r>
              <w:rPr>
                <w:sz w:val="20"/>
                <w:szCs w:val="20"/>
                <w:lang w:eastAsia="en-GB"/>
              </w:rPr>
              <w:t xml:space="preserve">The Commission shall inform the European standardisation organisation concerned of the decision referred to in paragraph 1 and, if necessary, request the revision of the harmonised standards concerned. </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val="sr-Cyrl-CS" w:eastAsia="en-GB"/>
              </w:rPr>
              <w:t>НП</w:t>
            </w:r>
          </w:p>
          <w:p w:rsidR="0017553A" w:rsidRDefault="0017553A">
            <w:pPr>
              <w:spacing w:after="0"/>
              <w:rPr>
                <w:b/>
                <w:sz w:val="20"/>
                <w:szCs w:val="20"/>
                <w:lang w:val="sr-Cyrl-CS" w:eastAsia="en-GB"/>
              </w:rPr>
            </w:pPr>
          </w:p>
        </w:tc>
        <w:tc>
          <w:tcPr>
            <w:tcW w:w="2410" w:type="dxa"/>
            <w:gridSpan w:val="2"/>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r>
              <w:rPr>
                <w:sz w:val="20"/>
                <w:szCs w:val="20"/>
                <w:lang w:val="sr-Cyrl-CS" w:eastAsia="en-GB"/>
              </w:rPr>
              <w:t xml:space="preserve">Образложење  оцене: Одредба 11.3. Уредбе није пренета Законом, јер прописује обавезе </w:t>
            </w:r>
          </w:p>
          <w:p w:rsidR="0017553A" w:rsidRDefault="0017553A">
            <w:pPr>
              <w:spacing w:after="0"/>
              <w:rPr>
                <w:sz w:val="20"/>
                <w:szCs w:val="20"/>
                <w:lang w:val="sr-Cyrl-CS" w:eastAsia="en-GB"/>
              </w:rPr>
            </w:pPr>
            <w:r>
              <w:rPr>
                <w:sz w:val="20"/>
                <w:szCs w:val="20"/>
                <w:lang w:val="sr-Cyrl-CS" w:eastAsia="en-GB"/>
              </w:rPr>
              <w:t>Европске комисије.</w:t>
            </w:r>
          </w:p>
          <w:p w:rsidR="0017553A" w:rsidRDefault="0017553A">
            <w:pPr>
              <w:spacing w:after="0"/>
              <w:rPr>
                <w:sz w:val="20"/>
                <w:szCs w:val="20"/>
                <w:lang w:val="sr-Cyrl-CS" w:eastAsia="en-GB"/>
              </w:rPr>
            </w:pP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11.4</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eastAsia="en-GB"/>
              </w:rPr>
            </w:pPr>
            <w:r>
              <w:rPr>
                <w:sz w:val="20"/>
                <w:szCs w:val="20"/>
                <w:lang w:eastAsia="en-GB"/>
              </w:rPr>
              <w:t>The decision referred to in point (a) of paragraph 1 of this Article shall be adopted in accordance with the advisory procedure referred to in Article 22(2).</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val="sr-Cyrl-CS" w:eastAsia="en-GB"/>
              </w:rPr>
              <w:t>НП</w:t>
            </w:r>
          </w:p>
          <w:p w:rsidR="0017553A" w:rsidRDefault="0017553A">
            <w:pPr>
              <w:spacing w:after="0"/>
              <w:rPr>
                <w:b/>
                <w:sz w:val="20"/>
                <w:szCs w:val="20"/>
                <w:lang w:val="sr-Cyrl-CS" w:eastAsia="en-GB"/>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 xml:space="preserve">Образложење оцене: Одредба 11.4. Уредбе није пренета Законом, јер прописује обавезе </w:t>
            </w:r>
          </w:p>
          <w:p w:rsidR="0017553A" w:rsidRDefault="0017553A">
            <w:pPr>
              <w:spacing w:after="0"/>
              <w:rPr>
                <w:sz w:val="20"/>
                <w:szCs w:val="20"/>
                <w:lang w:val="sr-Cyrl-CS" w:eastAsia="en-GB"/>
              </w:rPr>
            </w:pPr>
            <w:r>
              <w:rPr>
                <w:sz w:val="20"/>
                <w:szCs w:val="20"/>
                <w:lang w:val="sr-Cyrl-CS" w:eastAsia="en-GB"/>
              </w:rPr>
              <w:t>Европске комисије.</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Height w:val="1118"/>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11.5.</w:t>
            </w:r>
          </w:p>
        </w:tc>
        <w:tc>
          <w:tcPr>
            <w:tcW w:w="4583" w:type="dxa"/>
            <w:gridSpan w:val="2"/>
            <w:tcBorders>
              <w:top w:val="single" w:sz="4" w:space="0" w:color="000000"/>
              <w:left w:val="single" w:sz="4" w:space="0" w:color="000000"/>
              <w:bottom w:val="single" w:sz="4" w:space="0" w:color="000000"/>
              <w:right w:val="single" w:sz="4" w:space="0" w:color="000000"/>
            </w:tcBorders>
          </w:tcPr>
          <w:p w:rsidR="0017553A" w:rsidRDefault="0017553A">
            <w:pPr>
              <w:pStyle w:val="CM4"/>
              <w:jc w:val="both"/>
              <w:rPr>
                <w:rFonts w:ascii="Times New Roman" w:hAnsi="Times New Roman"/>
                <w:sz w:val="20"/>
                <w:szCs w:val="20"/>
                <w:lang w:val="sr-Cyrl-CS" w:eastAsia="en-GB"/>
              </w:rPr>
            </w:pPr>
            <w:r>
              <w:rPr>
                <w:rFonts w:ascii="Times New Roman" w:hAnsi="Times New Roman"/>
                <w:sz w:val="20"/>
                <w:szCs w:val="20"/>
                <w:lang w:eastAsia="en-GB"/>
              </w:rPr>
              <w:t xml:space="preserve">The decision referred to in point (b) of paragraph 1 of this Article shall be adopted in accordance with the examination procedure referred to in Article 22(3). </w:t>
            </w:r>
          </w:p>
          <w:p w:rsidR="0017553A" w:rsidRDefault="0017553A">
            <w:pPr>
              <w:rPr>
                <w:rFonts w:ascii="Times New Roman" w:hAnsi="Times New Roman"/>
                <w:sz w:val="20"/>
                <w:szCs w:val="20"/>
                <w:lang w:val="sr-Cyrl-CS" w:eastAsia="en-GB"/>
              </w:rPr>
            </w:pP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val="sr-Cyrl-CS" w:eastAsia="en-GB"/>
              </w:rPr>
              <w:t>НП</w:t>
            </w:r>
          </w:p>
          <w:p w:rsidR="0017553A" w:rsidRDefault="0017553A">
            <w:pPr>
              <w:spacing w:after="0"/>
              <w:rPr>
                <w:b/>
                <w:sz w:val="20"/>
                <w:szCs w:val="20"/>
                <w:lang w:val="sr-Cyrl-CS" w:eastAsia="en-GB"/>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 xml:space="preserve">Образложење оцене: Одредба 11.5. Уредбе није пренета Законом, јер прописује обавезе </w:t>
            </w:r>
          </w:p>
          <w:p w:rsidR="0017553A" w:rsidRDefault="0017553A">
            <w:pPr>
              <w:spacing w:after="0"/>
              <w:rPr>
                <w:sz w:val="20"/>
                <w:szCs w:val="20"/>
                <w:lang w:val="sr-Cyrl-CS" w:eastAsia="en-GB"/>
              </w:rPr>
            </w:pPr>
            <w:r>
              <w:rPr>
                <w:sz w:val="20"/>
                <w:szCs w:val="20"/>
                <w:lang w:val="sr-Cyrl-CS" w:eastAsia="en-GB"/>
              </w:rPr>
              <w:t>Европске комисије.</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Height w:val="1189"/>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lastRenderedPageBreak/>
              <w:t>12.1.</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eastAsia="en-GB"/>
              </w:rPr>
            </w:pPr>
            <w:r>
              <w:rPr>
                <w:sz w:val="20"/>
                <w:szCs w:val="20"/>
                <w:lang w:eastAsia="en-GB"/>
              </w:rPr>
              <w:t xml:space="preserve">The Commission shall establish a notification system for all stakeholders, including European standardisation organisations and European stakeholder organisations receiving Union financing in accordance with this Regulation in order to ensure proper consultation and market relevance prior to: </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val="sr-Cyrl-CS" w:eastAsia="en-GB"/>
              </w:rPr>
              <w:t>НП</w:t>
            </w:r>
          </w:p>
          <w:p w:rsidR="0017553A" w:rsidRDefault="0017553A">
            <w:pPr>
              <w:spacing w:after="0"/>
              <w:rPr>
                <w:b/>
                <w:sz w:val="20"/>
                <w:szCs w:val="20"/>
                <w:lang w:val="sr-Cyrl-CS" w:eastAsia="en-GB"/>
              </w:rPr>
            </w:pPr>
          </w:p>
        </w:tc>
        <w:tc>
          <w:tcPr>
            <w:tcW w:w="2410" w:type="dxa"/>
            <w:gridSpan w:val="2"/>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r>
              <w:rPr>
                <w:sz w:val="20"/>
                <w:szCs w:val="20"/>
                <w:lang w:val="sr-Cyrl-CS" w:eastAsia="en-GB"/>
              </w:rPr>
              <w:t xml:space="preserve">Образложење оцене: Одредба 12.1. Уредбе није пренета Законом, јер прописује обавезе </w:t>
            </w:r>
          </w:p>
          <w:p w:rsidR="0017553A" w:rsidRDefault="0017553A">
            <w:pPr>
              <w:spacing w:after="0"/>
              <w:rPr>
                <w:sz w:val="20"/>
                <w:szCs w:val="20"/>
                <w:lang w:val="sr-Cyrl-CS" w:eastAsia="en-GB"/>
              </w:rPr>
            </w:pPr>
            <w:r>
              <w:rPr>
                <w:sz w:val="20"/>
                <w:szCs w:val="20"/>
                <w:lang w:val="sr-Cyrl-CS" w:eastAsia="en-GB"/>
              </w:rPr>
              <w:t>Европске комисије.</w:t>
            </w:r>
          </w:p>
          <w:p w:rsidR="0017553A" w:rsidRDefault="0017553A">
            <w:pPr>
              <w:spacing w:after="0"/>
              <w:rPr>
                <w:sz w:val="20"/>
                <w:szCs w:val="20"/>
                <w:lang w:val="sr-Cyrl-CS" w:eastAsia="en-GB"/>
              </w:rPr>
            </w:pP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12.1.a)</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eastAsia="en-GB"/>
              </w:rPr>
            </w:pPr>
            <w:r>
              <w:rPr>
                <w:sz w:val="20"/>
                <w:szCs w:val="20"/>
                <w:lang w:eastAsia="en-GB"/>
              </w:rPr>
              <w:t xml:space="preserve"> adopting the annual Union work programme for European standardisation referred to in Article 8(1); </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val="sr-Cyrl-CS" w:eastAsia="en-GB"/>
              </w:rPr>
              <w:t>НП</w:t>
            </w:r>
          </w:p>
          <w:p w:rsidR="0017553A" w:rsidRDefault="0017553A">
            <w:pPr>
              <w:spacing w:after="0"/>
              <w:rPr>
                <w:b/>
                <w:sz w:val="20"/>
                <w:szCs w:val="20"/>
                <w:lang w:val="sr-Cyrl-CS" w:eastAsia="en-GB"/>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 xml:space="preserve">Образложење оцене: Одредба 12.1.а) Уредбе није пренета Законом, јер прописује обавезе </w:t>
            </w:r>
          </w:p>
          <w:p w:rsidR="0017553A" w:rsidRDefault="0017553A">
            <w:pPr>
              <w:spacing w:after="0"/>
              <w:rPr>
                <w:sz w:val="20"/>
                <w:szCs w:val="20"/>
                <w:lang w:val="sr-Cyrl-CS" w:eastAsia="en-GB"/>
              </w:rPr>
            </w:pPr>
            <w:r>
              <w:rPr>
                <w:sz w:val="20"/>
                <w:szCs w:val="20"/>
                <w:lang w:val="sr-Cyrl-CS" w:eastAsia="en-GB"/>
              </w:rPr>
              <w:t>Европске комисије.</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12.1.b)</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eastAsia="en-GB"/>
              </w:rPr>
            </w:pPr>
            <w:r>
              <w:rPr>
                <w:sz w:val="20"/>
                <w:szCs w:val="20"/>
                <w:lang w:eastAsia="en-GB"/>
              </w:rPr>
              <w:t>adopting standardisation requests referred to in Article 10;</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val="sr-Cyrl-CS" w:eastAsia="en-GB"/>
              </w:rPr>
              <w:t>НП</w:t>
            </w:r>
          </w:p>
          <w:p w:rsidR="0017553A" w:rsidRDefault="0017553A">
            <w:pPr>
              <w:spacing w:after="0"/>
              <w:rPr>
                <w:b/>
                <w:sz w:val="20"/>
                <w:szCs w:val="20"/>
                <w:lang w:val="sr-Cyrl-CS" w:eastAsia="en-GB"/>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 xml:space="preserve">Образложење оцене: Одредба 12.б) Уредбе није пренета Законом, јер прописује обавезе </w:t>
            </w:r>
          </w:p>
          <w:p w:rsidR="0017553A" w:rsidRDefault="0017553A">
            <w:pPr>
              <w:spacing w:after="0"/>
              <w:rPr>
                <w:sz w:val="20"/>
                <w:szCs w:val="20"/>
                <w:lang w:val="sr-Cyrl-CS" w:eastAsia="en-GB"/>
              </w:rPr>
            </w:pPr>
            <w:r>
              <w:rPr>
                <w:sz w:val="20"/>
                <w:szCs w:val="20"/>
                <w:lang w:val="sr-Cyrl-CS" w:eastAsia="en-GB"/>
              </w:rPr>
              <w:t>Европске комисије.</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12.1.c)</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eastAsia="en-GB"/>
              </w:rPr>
            </w:pPr>
            <w:r>
              <w:rPr>
                <w:sz w:val="20"/>
                <w:szCs w:val="20"/>
                <w:lang w:eastAsia="en-GB"/>
              </w:rPr>
              <w:t>taking a decision on formal objections to harmonised standards, as referred to in Article 11(1);</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val="sr-Cyrl-CS" w:eastAsia="en-GB"/>
              </w:rPr>
              <w:t>НП</w:t>
            </w:r>
          </w:p>
          <w:p w:rsidR="0017553A" w:rsidRDefault="0017553A">
            <w:pPr>
              <w:spacing w:after="0"/>
              <w:rPr>
                <w:b/>
                <w:sz w:val="20"/>
                <w:szCs w:val="20"/>
                <w:lang w:val="sr-Cyrl-CS" w:eastAsia="en-GB"/>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 xml:space="preserve">Образложење оцене: Одредба 12.1.ц) Уредбе није пренета Законом, јер прописује обавезе </w:t>
            </w:r>
          </w:p>
          <w:p w:rsidR="0017553A" w:rsidRDefault="0017553A">
            <w:pPr>
              <w:spacing w:after="0"/>
              <w:rPr>
                <w:sz w:val="20"/>
                <w:szCs w:val="20"/>
                <w:lang w:val="sr-Cyrl-CS" w:eastAsia="en-GB"/>
              </w:rPr>
            </w:pPr>
            <w:r>
              <w:rPr>
                <w:sz w:val="20"/>
                <w:szCs w:val="20"/>
                <w:lang w:val="sr-Cyrl-CS" w:eastAsia="en-GB"/>
              </w:rPr>
              <w:t>Европске комисије.</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12.1.d)</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eastAsia="en-GB"/>
              </w:rPr>
            </w:pPr>
            <w:r>
              <w:rPr>
                <w:sz w:val="20"/>
                <w:szCs w:val="20"/>
                <w:lang w:eastAsia="en-GB"/>
              </w:rPr>
              <w:t>taking a decision on identifications of ICT technical specifications referred to in Article 13;</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val="sr-Cyrl-CS" w:eastAsia="en-GB"/>
              </w:rPr>
              <w:t>НП</w:t>
            </w:r>
          </w:p>
          <w:p w:rsidR="0017553A" w:rsidRDefault="0017553A">
            <w:pPr>
              <w:spacing w:after="0"/>
              <w:rPr>
                <w:b/>
                <w:sz w:val="20"/>
                <w:szCs w:val="20"/>
                <w:lang w:val="sr-Cyrl-CS" w:eastAsia="en-GB"/>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 xml:space="preserve">Образложење оцене: Одредба 12.1.д) Уредбе није пренета Законом, јер прописује обавезе </w:t>
            </w:r>
          </w:p>
          <w:p w:rsidR="0017553A" w:rsidRDefault="0017553A">
            <w:pPr>
              <w:spacing w:after="0"/>
              <w:rPr>
                <w:sz w:val="20"/>
                <w:szCs w:val="20"/>
                <w:lang w:val="sr-Cyrl-CS" w:eastAsia="en-GB"/>
              </w:rPr>
            </w:pPr>
            <w:r>
              <w:rPr>
                <w:sz w:val="20"/>
                <w:szCs w:val="20"/>
                <w:lang w:val="sr-Cyrl-CS" w:eastAsia="en-GB"/>
              </w:rPr>
              <w:t>Европске комисије.</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12.1.e)</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ind w:left="-108"/>
              <w:rPr>
                <w:sz w:val="20"/>
                <w:szCs w:val="20"/>
                <w:lang w:val="sr-Cyrl-CS" w:eastAsia="en-GB"/>
              </w:rPr>
            </w:pPr>
            <w:r>
              <w:rPr>
                <w:sz w:val="20"/>
                <w:szCs w:val="20"/>
                <w:lang w:eastAsia="en-GB"/>
              </w:rPr>
              <w:t xml:space="preserve"> adopting delegated acts referred to in Article 20.</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val="sr-Cyrl-CS" w:eastAsia="en-GB"/>
              </w:rPr>
              <w:t>НП</w:t>
            </w:r>
          </w:p>
          <w:p w:rsidR="0017553A" w:rsidRDefault="0017553A">
            <w:pPr>
              <w:spacing w:after="0"/>
              <w:rPr>
                <w:b/>
                <w:sz w:val="20"/>
                <w:szCs w:val="20"/>
                <w:lang w:val="sr-Cyrl-CS" w:eastAsia="en-GB"/>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 xml:space="preserve">Образложење оцене: Одредба 12.1.е) Уредбе </w:t>
            </w:r>
            <w:r>
              <w:rPr>
                <w:sz w:val="20"/>
                <w:szCs w:val="20"/>
                <w:lang w:val="sr-Cyrl-CS" w:eastAsia="en-GB"/>
              </w:rPr>
              <w:lastRenderedPageBreak/>
              <w:t xml:space="preserve">није пренета Законом, јер прописује обавезе </w:t>
            </w:r>
          </w:p>
          <w:p w:rsidR="0017553A" w:rsidRDefault="0017553A">
            <w:pPr>
              <w:spacing w:after="0"/>
              <w:rPr>
                <w:sz w:val="20"/>
                <w:szCs w:val="20"/>
                <w:lang w:val="sr-Cyrl-CS" w:eastAsia="en-GB"/>
              </w:rPr>
            </w:pPr>
            <w:r>
              <w:rPr>
                <w:sz w:val="20"/>
                <w:szCs w:val="20"/>
                <w:lang w:val="sr-Cyrl-CS" w:eastAsia="en-GB"/>
              </w:rPr>
              <w:t>Европске комисије.</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Height w:val="1476"/>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lastRenderedPageBreak/>
              <w:t>13.1.</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eastAsia="en-GB"/>
              </w:rPr>
            </w:pPr>
            <w:r>
              <w:rPr>
                <w:sz w:val="20"/>
                <w:szCs w:val="20"/>
                <w:lang w:eastAsia="en-GB"/>
              </w:rPr>
              <w:t xml:space="preserve">Either on proposal from a Member State or on its own initiative the Commission may decide to identify ICT technical specifications that are not national, European or international standards, but meet the requirements set out in Annex II, which may be referenced, primarily to enable interoperability, in public procurement. </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val="sr-Cyrl-CS" w:eastAsia="en-GB"/>
              </w:rPr>
              <w:t>НП</w:t>
            </w:r>
          </w:p>
          <w:p w:rsidR="0017553A" w:rsidRDefault="0017553A">
            <w:pPr>
              <w:spacing w:after="0"/>
              <w:rPr>
                <w:b/>
                <w:sz w:val="20"/>
                <w:szCs w:val="20"/>
                <w:lang w:val="sr-Cyrl-CS" w:eastAsia="en-GB"/>
              </w:rPr>
            </w:pPr>
          </w:p>
        </w:tc>
        <w:tc>
          <w:tcPr>
            <w:tcW w:w="2410" w:type="dxa"/>
            <w:gridSpan w:val="2"/>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r>
              <w:rPr>
                <w:sz w:val="20"/>
                <w:szCs w:val="20"/>
                <w:lang w:val="sr-Cyrl-CS" w:eastAsia="en-GB"/>
              </w:rPr>
              <w:t xml:space="preserve">Образложење оцене: Одредба </w:t>
            </w:r>
            <w:r>
              <w:rPr>
                <w:sz w:val="20"/>
                <w:szCs w:val="20"/>
                <w:lang w:val="sr-Latn-CS" w:eastAsia="en-GB"/>
              </w:rPr>
              <w:t>13</w:t>
            </w:r>
            <w:r>
              <w:rPr>
                <w:sz w:val="20"/>
                <w:szCs w:val="20"/>
                <w:lang w:val="sr-Cyrl-CS" w:eastAsia="en-GB"/>
              </w:rPr>
              <w:t xml:space="preserve">.1. Уредбе није пренета Законом, јер се односи на права држава чланица ЕУ и Европске комисије. </w:t>
            </w:r>
          </w:p>
          <w:p w:rsidR="0017553A" w:rsidRDefault="0017553A">
            <w:pPr>
              <w:spacing w:after="0"/>
              <w:rPr>
                <w:sz w:val="20"/>
                <w:szCs w:val="20"/>
                <w:lang w:val="sr-Cyrl-CS" w:eastAsia="en-GB"/>
              </w:rPr>
            </w:pP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Height w:val="110"/>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13.2.</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eastAsia="en-GB"/>
              </w:rPr>
            </w:pPr>
            <w:r>
              <w:rPr>
                <w:sz w:val="20"/>
                <w:szCs w:val="20"/>
                <w:lang w:eastAsia="en-GB"/>
              </w:rPr>
              <w:t xml:space="preserve">Either on proposal from a Member State or on its own initiative, when an ICT technical specification identified in accordance with paragraph 1 is modified, withdrawn or no longer meets the requirements set out in Annex II, the Commission may decide to identify the modified ICT technical specification or to withdraw the identification. </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val="sr-Cyrl-CS" w:eastAsia="en-GB"/>
              </w:rPr>
              <w:t>НП</w:t>
            </w:r>
          </w:p>
          <w:p w:rsidR="0017553A" w:rsidRDefault="0017553A">
            <w:pPr>
              <w:spacing w:after="0"/>
              <w:rPr>
                <w:b/>
                <w:sz w:val="20"/>
                <w:szCs w:val="20"/>
                <w:lang w:val="sr-Cyrl-CS" w:eastAsia="en-GB"/>
              </w:rPr>
            </w:pPr>
          </w:p>
        </w:tc>
        <w:tc>
          <w:tcPr>
            <w:tcW w:w="2410" w:type="dxa"/>
            <w:gridSpan w:val="2"/>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r>
              <w:rPr>
                <w:sz w:val="20"/>
                <w:szCs w:val="20"/>
                <w:lang w:val="sr-Cyrl-CS" w:eastAsia="en-GB"/>
              </w:rPr>
              <w:t xml:space="preserve">Образложење оцене: Одредба </w:t>
            </w:r>
            <w:r>
              <w:rPr>
                <w:sz w:val="20"/>
                <w:szCs w:val="20"/>
                <w:lang w:val="sr-Latn-CS" w:eastAsia="en-GB"/>
              </w:rPr>
              <w:t>13</w:t>
            </w:r>
            <w:r>
              <w:rPr>
                <w:sz w:val="20"/>
                <w:szCs w:val="20"/>
                <w:lang w:val="sr-Cyrl-CS" w:eastAsia="en-GB"/>
              </w:rPr>
              <w:t xml:space="preserve">.2. Уредбе није пренета Законом, јер се односи на права држава чланица ЕУ и Европске комисије. </w:t>
            </w:r>
          </w:p>
          <w:p w:rsidR="0017553A" w:rsidRDefault="0017553A">
            <w:pPr>
              <w:spacing w:after="0"/>
              <w:rPr>
                <w:sz w:val="20"/>
                <w:szCs w:val="20"/>
                <w:lang w:val="sr-Cyrl-CS" w:eastAsia="en-GB"/>
              </w:rPr>
            </w:pP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13.3.</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eastAsia="en-GB"/>
              </w:rPr>
              <w:t>The decisions provided for in paragraphs 1 and 2 shall be adopted after consultation of the European multi-stakeholder platform on ICT standardisation, which includes European standardisation organisations, Member States and relevant stakeholders, and after consultation of the committee set up by the corresponding Union legislation, if it exists, or after other forms of consultation of sectoral experts, if such a committee does not exist</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val="sr-Cyrl-CS" w:eastAsia="en-GB"/>
              </w:rPr>
              <w:t>НП</w:t>
            </w:r>
          </w:p>
          <w:p w:rsidR="0017553A" w:rsidRDefault="0017553A">
            <w:pPr>
              <w:spacing w:after="0"/>
              <w:rPr>
                <w:b/>
                <w:sz w:val="20"/>
                <w:szCs w:val="20"/>
                <w:lang w:val="sr-Cyrl-CS" w:eastAsia="en-GB"/>
              </w:rPr>
            </w:pPr>
          </w:p>
        </w:tc>
        <w:tc>
          <w:tcPr>
            <w:tcW w:w="2410" w:type="dxa"/>
            <w:gridSpan w:val="2"/>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r>
              <w:rPr>
                <w:sz w:val="20"/>
                <w:szCs w:val="20"/>
                <w:lang w:val="sr-Cyrl-CS" w:eastAsia="en-GB"/>
              </w:rPr>
              <w:t xml:space="preserve">Образложење оцене: Одредба </w:t>
            </w:r>
            <w:r>
              <w:rPr>
                <w:sz w:val="20"/>
                <w:szCs w:val="20"/>
                <w:lang w:val="sr-Latn-CS" w:eastAsia="en-GB"/>
              </w:rPr>
              <w:t>13</w:t>
            </w:r>
            <w:r>
              <w:rPr>
                <w:sz w:val="20"/>
                <w:szCs w:val="20"/>
                <w:lang w:val="sr-Cyrl-CS" w:eastAsia="en-GB"/>
              </w:rPr>
              <w:t xml:space="preserve">.3. Уредбе није пренета Законом, јер прописује обавезе Европске комисије. </w:t>
            </w:r>
          </w:p>
          <w:p w:rsidR="0017553A" w:rsidRDefault="0017553A">
            <w:pPr>
              <w:spacing w:after="0"/>
              <w:rPr>
                <w:sz w:val="20"/>
                <w:szCs w:val="20"/>
                <w:lang w:val="sr-Cyrl-CS" w:eastAsia="en-GB"/>
              </w:rPr>
            </w:pP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Height w:val="1159"/>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lastRenderedPageBreak/>
              <w:t>14.1.</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eastAsia="en-GB"/>
              </w:rPr>
            </w:pPr>
            <w:r>
              <w:rPr>
                <w:sz w:val="20"/>
                <w:szCs w:val="20"/>
                <w:lang w:eastAsia="en-GB"/>
              </w:rPr>
              <w:t xml:space="preserve">The ICT technical specifications referred to in Article 13 of this Regulation shall constitute common technical specifications referred to in Directives 2004/17/EC, 2004/18/EC and 2009/81/EC, and Regulation (EC, Euratom) No 2342/2002. </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val="sr-Cyrl-CS" w:eastAsia="en-GB"/>
              </w:rPr>
              <w:t>НП</w:t>
            </w:r>
          </w:p>
          <w:p w:rsidR="0017553A" w:rsidRDefault="0017553A">
            <w:pPr>
              <w:spacing w:after="0"/>
              <w:rPr>
                <w:b/>
                <w:sz w:val="20"/>
                <w:szCs w:val="20"/>
                <w:lang w:val="sr-Cyrl-CS" w:eastAsia="en-GB"/>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Образложење оцене:   Одредба 14.1. Уредбе није пренета Законом, јер прописује обавезе Европске Комисије и држава чланица</w:t>
            </w:r>
            <w:r>
              <w:rPr>
                <w:sz w:val="20"/>
                <w:szCs w:val="20"/>
                <w:lang w:val="hr-HR" w:eastAsia="en-GB"/>
              </w:rPr>
              <w:t xml:space="preserve">. </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15.1.</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eastAsia="en-GB"/>
              </w:rPr>
            </w:pPr>
            <w:r>
              <w:rPr>
                <w:sz w:val="20"/>
                <w:szCs w:val="20"/>
                <w:lang w:eastAsia="en-GB"/>
              </w:rPr>
              <w:t>The financing by the Union may be granted to the European standardisation organisations for the following standardisation activities:</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Образложење оцене:  Одредба 15.1. Уредбе није пренета Законом, јер се односи на могућност финансирања европских организација за стандардизацију од стране ЕУ.</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15.1. (a)</w:t>
            </w:r>
          </w:p>
        </w:tc>
        <w:tc>
          <w:tcPr>
            <w:tcW w:w="4583" w:type="dxa"/>
            <w:gridSpan w:val="2"/>
            <w:tcBorders>
              <w:top w:val="single" w:sz="4" w:space="0" w:color="000000"/>
              <w:left w:val="single" w:sz="4" w:space="0" w:color="000000"/>
              <w:bottom w:val="single" w:sz="4" w:space="0" w:color="000000"/>
              <w:right w:val="single" w:sz="4" w:space="0" w:color="000000"/>
            </w:tcBorders>
          </w:tcPr>
          <w:p w:rsidR="0017553A" w:rsidRDefault="0017553A">
            <w:pPr>
              <w:pStyle w:val="CM4"/>
              <w:rPr>
                <w:rFonts w:ascii="Times New Roman" w:hAnsi="Times New Roman"/>
                <w:sz w:val="20"/>
                <w:szCs w:val="20"/>
                <w:lang w:eastAsia="en-GB"/>
              </w:rPr>
            </w:pPr>
            <w:r>
              <w:rPr>
                <w:rFonts w:ascii="Times New Roman" w:hAnsi="Times New Roman"/>
                <w:sz w:val="20"/>
                <w:szCs w:val="20"/>
                <w:lang w:eastAsia="en-GB"/>
              </w:rPr>
              <w:t xml:space="preserve">the development and revision of European standards or European standardisation deliverables which is necessary and suitable for the support of Union legislation and policies; </w:t>
            </w:r>
          </w:p>
          <w:p w:rsidR="0017553A" w:rsidRDefault="0017553A">
            <w:pPr>
              <w:rPr>
                <w:rFonts w:ascii="Times New Roman" w:hAnsi="Times New Roman"/>
                <w:sz w:val="20"/>
                <w:szCs w:val="20"/>
                <w:lang w:val="sr-Cyrl-CS" w:eastAsia="en-GB"/>
              </w:rPr>
            </w:pP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Образложење оцене:  Одредба 15.1.(а) Уредбе није пренета Законом, јер се односи на могућност финансирања европских организација за стандардизацију од стране ЕУ.</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ru-RU" w:eastAsia="en-GB"/>
              </w:rPr>
            </w:pPr>
          </w:p>
          <w:p w:rsidR="0017553A" w:rsidRDefault="0017553A">
            <w:pPr>
              <w:pStyle w:val="CM4"/>
              <w:jc w:val="both"/>
              <w:rPr>
                <w:rFonts w:ascii="Times New Roman" w:hAnsi="Times New Roman"/>
                <w:b/>
                <w:sz w:val="20"/>
                <w:szCs w:val="20"/>
                <w:lang w:eastAsia="en-GB"/>
              </w:rPr>
            </w:pPr>
            <w:r>
              <w:rPr>
                <w:rFonts w:ascii="Times New Roman" w:hAnsi="Times New Roman"/>
                <w:b/>
                <w:sz w:val="20"/>
                <w:szCs w:val="20"/>
                <w:lang w:eastAsia="en-GB"/>
              </w:rPr>
              <w:t xml:space="preserve">15.1. (b) </w:t>
            </w:r>
          </w:p>
          <w:p w:rsidR="0017553A" w:rsidRDefault="0017553A">
            <w:pPr>
              <w:spacing w:after="0"/>
              <w:rPr>
                <w:rFonts w:ascii="Times New Roman" w:hAnsi="Times New Roman"/>
                <w:b/>
                <w:sz w:val="20"/>
                <w:szCs w:val="20"/>
                <w:lang w:eastAsia="en-GB"/>
              </w:rPr>
            </w:pP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tabs>
                <w:tab w:val="left" w:pos="365"/>
              </w:tabs>
              <w:rPr>
                <w:sz w:val="20"/>
                <w:szCs w:val="20"/>
                <w:lang w:val="sr-Cyrl-CS" w:eastAsia="en-GB"/>
              </w:rPr>
            </w:pPr>
            <w:r>
              <w:rPr>
                <w:sz w:val="20"/>
                <w:szCs w:val="20"/>
                <w:lang w:eastAsia="en-GB"/>
              </w:rPr>
              <w:t>the verification of the quality, and conformity to the corresponding Union legislation and policies, of European standards or European standardisation deliverables;</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 xml:space="preserve">Образложење оцене:  Одредба 15.1. (б) Уредбе није пренета Законом, јер се односи на могућност финансирања европских организација </w:t>
            </w:r>
            <w:r>
              <w:rPr>
                <w:sz w:val="20"/>
                <w:szCs w:val="20"/>
                <w:lang w:val="sr-Cyrl-CS" w:eastAsia="en-GB"/>
              </w:rPr>
              <w:lastRenderedPageBreak/>
              <w:t>за стандардизацију од стране ЕУ.</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tcPr>
          <w:p w:rsidR="0017553A" w:rsidRDefault="0017553A">
            <w:pPr>
              <w:pStyle w:val="CM4"/>
              <w:jc w:val="both"/>
              <w:rPr>
                <w:rFonts w:ascii="Times New Roman" w:hAnsi="Times New Roman"/>
                <w:b/>
                <w:sz w:val="20"/>
                <w:szCs w:val="20"/>
                <w:lang w:eastAsia="en-GB"/>
              </w:rPr>
            </w:pPr>
            <w:r>
              <w:rPr>
                <w:rFonts w:ascii="Times New Roman" w:hAnsi="Times New Roman"/>
                <w:b/>
                <w:sz w:val="20"/>
                <w:szCs w:val="20"/>
                <w:lang w:eastAsia="en-GB"/>
              </w:rPr>
              <w:lastRenderedPageBreak/>
              <w:t>15.1. (c)</w:t>
            </w:r>
          </w:p>
          <w:p w:rsidR="0017553A" w:rsidRDefault="0017553A">
            <w:pPr>
              <w:spacing w:after="0"/>
              <w:rPr>
                <w:rFonts w:ascii="Times New Roman" w:hAnsi="Times New Roman"/>
                <w:b/>
                <w:sz w:val="20"/>
                <w:szCs w:val="20"/>
                <w:lang w:eastAsia="en-GB"/>
              </w:rPr>
            </w:pPr>
          </w:p>
          <w:p w:rsidR="0017553A" w:rsidRDefault="0017553A">
            <w:pPr>
              <w:spacing w:after="0"/>
              <w:rPr>
                <w:b/>
                <w:sz w:val="20"/>
                <w:szCs w:val="20"/>
                <w:lang w:eastAsia="en-GB"/>
              </w:rPr>
            </w:pP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eastAsia="en-GB"/>
              </w:rPr>
            </w:pPr>
            <w:r>
              <w:rPr>
                <w:sz w:val="20"/>
                <w:szCs w:val="20"/>
                <w:lang w:eastAsia="en-GB"/>
              </w:rPr>
              <w:t>the performance of preliminary or ancillary work in connection with European standardisation, including studies, cooperation activities, including international cooperation, seminars, evaluations, comparative analyses, research work, laboratory work, inter-laboratory tests, conformity evaluation work and measures to ensure that the periods for the development and the revision of European standards or European standardisation deliverables are shortened without prejudice to the founding principles, especially the principles of openness, quality, transparency and consensus among all stakeholders;</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Образложење оцене: Одредба 15.1.</w:t>
            </w:r>
            <w:r>
              <w:rPr>
                <w:sz w:val="20"/>
                <w:szCs w:val="20"/>
                <w:lang w:eastAsia="en-GB"/>
              </w:rPr>
              <w:t xml:space="preserve"> </w:t>
            </w:r>
            <w:r>
              <w:rPr>
                <w:sz w:val="20"/>
                <w:szCs w:val="20"/>
                <w:lang w:val="sr-Cyrl-CS" w:eastAsia="en-GB"/>
              </w:rPr>
              <w:t>(ц) Уредбе није пренета Законом, јер се односи на могућност финансирања европских организација за стандардизацију од стране ЕУ.</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tcPr>
          <w:p w:rsidR="0017553A" w:rsidRDefault="0017553A">
            <w:pPr>
              <w:pStyle w:val="CM4"/>
              <w:jc w:val="both"/>
              <w:rPr>
                <w:rFonts w:ascii="Times New Roman" w:hAnsi="Times New Roman"/>
                <w:b/>
                <w:sz w:val="20"/>
                <w:szCs w:val="20"/>
                <w:lang w:eastAsia="en-GB"/>
              </w:rPr>
            </w:pPr>
            <w:r>
              <w:rPr>
                <w:rFonts w:ascii="Times New Roman" w:hAnsi="Times New Roman"/>
                <w:b/>
                <w:sz w:val="20"/>
                <w:szCs w:val="20"/>
                <w:lang w:eastAsia="en-GB"/>
              </w:rPr>
              <w:t xml:space="preserve">15.1. (d) </w:t>
            </w:r>
          </w:p>
          <w:p w:rsidR="0017553A" w:rsidRDefault="0017553A">
            <w:pPr>
              <w:spacing w:after="0"/>
              <w:rPr>
                <w:rFonts w:ascii="Times New Roman" w:hAnsi="Times New Roman"/>
                <w:b/>
                <w:sz w:val="20"/>
                <w:szCs w:val="20"/>
                <w:lang w:eastAsia="en-GB"/>
              </w:rPr>
            </w:pP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eastAsia="en-GB"/>
              </w:rPr>
            </w:pPr>
            <w:r>
              <w:rPr>
                <w:sz w:val="20"/>
                <w:szCs w:val="20"/>
                <w:lang w:eastAsia="en-GB"/>
              </w:rPr>
              <w:t>the activities of the central secretariats of the European standardisation organisations, including policy development, the coordination of standardisation activities, the processing of technical work and the provision of information to interested parties;EN 14.11.2012 Official Journal of the European Union L 316/23</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Образложење оцене:  Одредба 15.1. (д) Уредбе није пренета Законом, јер се односи на могућност финансирања европских организација за стандардизацију од стране ЕУ.</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tcPr>
          <w:p w:rsidR="0017553A" w:rsidRDefault="0017553A">
            <w:pPr>
              <w:pStyle w:val="CM4"/>
              <w:jc w:val="both"/>
              <w:rPr>
                <w:rFonts w:ascii="Times New Roman" w:hAnsi="Times New Roman"/>
                <w:b/>
                <w:sz w:val="20"/>
                <w:szCs w:val="20"/>
                <w:lang w:eastAsia="en-GB"/>
              </w:rPr>
            </w:pPr>
            <w:r>
              <w:rPr>
                <w:rFonts w:ascii="Times New Roman" w:hAnsi="Times New Roman"/>
                <w:b/>
                <w:sz w:val="20"/>
                <w:szCs w:val="20"/>
                <w:lang w:eastAsia="en-GB"/>
              </w:rPr>
              <w:t xml:space="preserve">15.1. (e) </w:t>
            </w:r>
          </w:p>
          <w:p w:rsidR="0017553A" w:rsidRDefault="0017553A">
            <w:pPr>
              <w:spacing w:after="0"/>
              <w:rPr>
                <w:rFonts w:ascii="Times New Roman" w:hAnsi="Times New Roman"/>
                <w:b/>
                <w:sz w:val="20"/>
                <w:szCs w:val="20"/>
                <w:lang w:eastAsia="en-GB"/>
              </w:rPr>
            </w:pP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eastAsia="en-GB"/>
              </w:rPr>
            </w:pPr>
            <w:r>
              <w:rPr>
                <w:sz w:val="20"/>
                <w:szCs w:val="20"/>
                <w:lang w:eastAsia="en-GB"/>
              </w:rPr>
              <w:t xml:space="preserve">the translation of European standards or European standardisation deliverables used in support of Union legislation and policies into the official Union languages other than the working languages of the European standardisation organisations or, in duly </w:t>
            </w:r>
            <w:r>
              <w:rPr>
                <w:sz w:val="20"/>
                <w:szCs w:val="20"/>
                <w:lang w:eastAsia="en-GB"/>
              </w:rPr>
              <w:lastRenderedPageBreak/>
              <w:t xml:space="preserve">justified cases into languages other than the official Union languages; </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 xml:space="preserve">Образложење оцене:  Одредба 15.1.(е) Уредбе није пренета Законом, јер се односи на могућност финансирања </w:t>
            </w:r>
            <w:r>
              <w:rPr>
                <w:sz w:val="20"/>
                <w:szCs w:val="20"/>
                <w:lang w:val="sr-Cyrl-CS" w:eastAsia="en-GB"/>
              </w:rPr>
              <w:lastRenderedPageBreak/>
              <w:t>европских организација за стандардизацију од стране ЕУ.</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tcPr>
          <w:p w:rsidR="0017553A" w:rsidRDefault="0017553A">
            <w:pPr>
              <w:pStyle w:val="CM4"/>
              <w:jc w:val="both"/>
              <w:rPr>
                <w:rFonts w:ascii="Times New Roman" w:hAnsi="Times New Roman"/>
                <w:b/>
                <w:sz w:val="20"/>
                <w:szCs w:val="20"/>
                <w:lang w:eastAsia="en-GB"/>
              </w:rPr>
            </w:pPr>
            <w:r>
              <w:rPr>
                <w:rFonts w:ascii="Times New Roman" w:hAnsi="Times New Roman"/>
                <w:b/>
                <w:sz w:val="20"/>
                <w:szCs w:val="20"/>
                <w:lang w:eastAsia="en-GB"/>
              </w:rPr>
              <w:lastRenderedPageBreak/>
              <w:t xml:space="preserve">15.1. (f) </w:t>
            </w:r>
          </w:p>
          <w:p w:rsidR="0017553A" w:rsidRDefault="0017553A">
            <w:pPr>
              <w:spacing w:after="0"/>
              <w:rPr>
                <w:rFonts w:ascii="Times New Roman" w:hAnsi="Times New Roman"/>
                <w:b/>
                <w:sz w:val="20"/>
                <w:szCs w:val="20"/>
                <w:lang w:eastAsia="en-GB"/>
              </w:rPr>
            </w:pP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tabs>
                <w:tab w:val="left" w:pos="223"/>
                <w:tab w:val="left" w:pos="365"/>
              </w:tabs>
              <w:rPr>
                <w:sz w:val="20"/>
                <w:szCs w:val="20"/>
                <w:lang w:val="sr-Cyrl-CS" w:eastAsia="en-GB"/>
              </w:rPr>
            </w:pPr>
            <w:r>
              <w:rPr>
                <w:sz w:val="20"/>
                <w:szCs w:val="20"/>
                <w:lang w:eastAsia="en-GB"/>
              </w:rPr>
              <w:t>the drawing up of information to explain, interpret and simplify European standards or European standardisation deliverables, including the drawing up of user guides, abstracts of standards, best practice information and awareness-building actions, strategies and training programmes</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eastAsia="en-GB"/>
              </w:rPr>
            </w:pPr>
            <w:r>
              <w:rPr>
                <w:sz w:val="20"/>
                <w:szCs w:val="20"/>
                <w:lang w:val="sr-Cyrl-CS" w:eastAsia="en-GB"/>
              </w:rPr>
              <w:t>Образложење оцене:</w:t>
            </w:r>
            <w:r>
              <w:rPr>
                <w:sz w:val="20"/>
                <w:szCs w:val="20"/>
                <w:lang w:eastAsia="en-GB"/>
              </w:rPr>
              <w:t xml:space="preserve"> </w:t>
            </w:r>
            <w:r>
              <w:rPr>
                <w:sz w:val="20"/>
                <w:szCs w:val="20"/>
                <w:lang w:val="sr-Cyrl-CS" w:eastAsia="en-GB"/>
              </w:rPr>
              <w:t>Одредба 15.1. (ф) Уредбе није пренета Законом, јер се односи на могућност финансирања европских организација за стандардизацију од стране ЕУ</w:t>
            </w:r>
            <w:r>
              <w:rPr>
                <w:sz w:val="20"/>
                <w:szCs w:val="20"/>
                <w:lang w:eastAsia="en-GB"/>
              </w:rPr>
              <w:t>.</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tcPr>
          <w:p w:rsidR="0017553A" w:rsidRDefault="0017553A">
            <w:pPr>
              <w:pStyle w:val="CM4"/>
              <w:jc w:val="both"/>
              <w:rPr>
                <w:rFonts w:ascii="Times New Roman" w:hAnsi="Times New Roman"/>
                <w:b/>
                <w:sz w:val="20"/>
                <w:szCs w:val="20"/>
                <w:lang w:eastAsia="en-GB"/>
              </w:rPr>
            </w:pPr>
            <w:r>
              <w:rPr>
                <w:rFonts w:ascii="Times New Roman" w:hAnsi="Times New Roman"/>
                <w:b/>
                <w:sz w:val="20"/>
                <w:szCs w:val="20"/>
                <w:lang w:eastAsia="en-GB"/>
              </w:rPr>
              <w:t xml:space="preserve">15.1. (g) </w:t>
            </w:r>
          </w:p>
          <w:p w:rsidR="0017553A" w:rsidRDefault="0017553A">
            <w:pPr>
              <w:spacing w:after="0"/>
              <w:rPr>
                <w:rFonts w:ascii="Times New Roman" w:hAnsi="Times New Roman"/>
                <w:b/>
                <w:sz w:val="20"/>
                <w:szCs w:val="20"/>
                <w:lang w:eastAsia="en-GB"/>
              </w:rPr>
            </w:pP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eastAsia="en-GB"/>
              </w:rPr>
            </w:pPr>
            <w:r>
              <w:rPr>
                <w:sz w:val="20"/>
                <w:szCs w:val="20"/>
                <w:lang w:eastAsia="en-GB"/>
              </w:rPr>
              <w:t xml:space="preserve">activities seeking to carry out programmes of technical assistance, cooperation with third countries and the promotion and enhancement of the European standardisation system and of European standards and European standardisation deliverables among interested parties in the Union and at international level. </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Образложење оцене:</w:t>
            </w:r>
          </w:p>
          <w:p w:rsidR="0017553A" w:rsidRDefault="0017553A">
            <w:pPr>
              <w:spacing w:after="0"/>
              <w:rPr>
                <w:sz w:val="20"/>
                <w:szCs w:val="20"/>
                <w:lang w:val="sr-Cyrl-CS" w:eastAsia="en-GB"/>
              </w:rPr>
            </w:pPr>
            <w:r>
              <w:rPr>
                <w:sz w:val="20"/>
                <w:szCs w:val="20"/>
                <w:lang w:val="sr-Cyrl-CS" w:eastAsia="en-GB"/>
              </w:rPr>
              <w:t>Одредба 15.1.(г) Уредбе није пренета Законом, јер се односи на могућност финансирања европских организација за стандардизацију од стране ЕУ.</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Height w:val="597"/>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15.2.</w:t>
            </w:r>
          </w:p>
        </w:tc>
        <w:tc>
          <w:tcPr>
            <w:tcW w:w="4583" w:type="dxa"/>
            <w:gridSpan w:val="2"/>
            <w:tcBorders>
              <w:top w:val="single" w:sz="4" w:space="0" w:color="000000"/>
              <w:left w:val="single" w:sz="4" w:space="0" w:color="000000"/>
              <w:bottom w:val="single" w:sz="4" w:space="0" w:color="000000"/>
              <w:right w:val="single" w:sz="4" w:space="0" w:color="000000"/>
            </w:tcBorders>
          </w:tcPr>
          <w:p w:rsidR="0017553A" w:rsidRDefault="0017553A">
            <w:pPr>
              <w:pStyle w:val="CM4"/>
              <w:jc w:val="both"/>
              <w:rPr>
                <w:rFonts w:ascii="Times New Roman" w:hAnsi="Times New Roman"/>
                <w:sz w:val="20"/>
                <w:szCs w:val="20"/>
                <w:lang w:eastAsia="en-GB"/>
              </w:rPr>
            </w:pPr>
            <w:r>
              <w:rPr>
                <w:rFonts w:ascii="Times New Roman" w:hAnsi="Times New Roman"/>
                <w:sz w:val="20"/>
                <w:szCs w:val="20"/>
                <w:lang w:eastAsia="en-GB"/>
              </w:rPr>
              <w:t xml:space="preserve">2. The financing by the Union may also be granted to: </w:t>
            </w:r>
          </w:p>
          <w:p w:rsidR="0017553A" w:rsidRDefault="0017553A">
            <w:pPr>
              <w:rPr>
                <w:rFonts w:ascii="Times New Roman" w:hAnsi="Times New Roman"/>
                <w:sz w:val="20"/>
                <w:szCs w:val="20"/>
                <w:lang w:val="sr-Cyrl-CS" w:eastAsia="en-GB"/>
              </w:rPr>
            </w:pP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 xml:space="preserve">НП </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Образложење оцене:  Одредба 15.</w:t>
            </w:r>
            <w:r>
              <w:rPr>
                <w:sz w:val="20"/>
                <w:szCs w:val="20"/>
                <w:lang w:eastAsia="en-GB"/>
              </w:rPr>
              <w:t>2.</w:t>
            </w:r>
            <w:r>
              <w:rPr>
                <w:b/>
                <w:sz w:val="20"/>
                <w:szCs w:val="20"/>
                <w:lang w:eastAsia="en-GB"/>
              </w:rPr>
              <w:t xml:space="preserve"> </w:t>
            </w:r>
            <w:r>
              <w:rPr>
                <w:sz w:val="20"/>
                <w:szCs w:val="20"/>
                <w:lang w:val="sr-Cyrl-CS" w:eastAsia="en-GB"/>
              </w:rPr>
              <w:t>Уредбе није пренета Законом,  јер Република Србија није чланица ЕУ.</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15.2.a)</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eastAsia="en-GB"/>
              </w:rPr>
              <w:t xml:space="preserve">national standardisation bodies for the standardisation activities referred to in paragraph 1, which they jointly undertake with the European standardisation organisations; </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Образложење оцене:  Одредба 15.</w:t>
            </w:r>
            <w:r>
              <w:rPr>
                <w:sz w:val="20"/>
                <w:szCs w:val="20"/>
                <w:lang w:eastAsia="en-GB"/>
              </w:rPr>
              <w:t>2.</w:t>
            </w:r>
            <w:r>
              <w:rPr>
                <w:sz w:val="20"/>
                <w:szCs w:val="20"/>
                <w:lang w:val="sr-Cyrl-CS" w:eastAsia="en-GB"/>
              </w:rPr>
              <w:t>а) Уредбе није пренета Законом,  јер Република Србија није чланица ЕУ.</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lastRenderedPageBreak/>
              <w:t>15.2.b)</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eastAsia="en-GB"/>
              </w:rPr>
              <w:t xml:space="preserve">other bodies which have been entrusted with contributing to the activities referred to in point (a) of paragraph 1, or carrying out the activities referred to in points (c) and (g) of paragraph 1, in cooperation with the European standardisation organisations. </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Образложење оцене:  Одредба 15.</w:t>
            </w:r>
            <w:r>
              <w:rPr>
                <w:sz w:val="20"/>
                <w:szCs w:val="20"/>
                <w:lang w:eastAsia="en-GB"/>
              </w:rPr>
              <w:t>2.</w:t>
            </w:r>
            <w:r>
              <w:rPr>
                <w:b/>
                <w:sz w:val="20"/>
                <w:szCs w:val="20"/>
                <w:lang w:eastAsia="en-GB"/>
              </w:rPr>
              <w:t xml:space="preserve"> </w:t>
            </w:r>
            <w:r>
              <w:rPr>
                <w:sz w:val="20"/>
                <w:szCs w:val="20"/>
                <w:lang w:val="sr-Cyrl-CS" w:eastAsia="en-GB"/>
              </w:rPr>
              <w:t>б) Уредбе није пренета Законом,  јер Република Србија није чланица ЕУ.</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Height w:val="1176"/>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16.1.</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eastAsia="en-GB"/>
              </w:rPr>
            </w:pPr>
            <w:r>
              <w:rPr>
                <w:sz w:val="20"/>
                <w:szCs w:val="20"/>
                <w:lang w:eastAsia="en-GB"/>
              </w:rPr>
              <w:t>The financing by the Union may be granted to the European stakeholder organisations meeting the criteria set out in Annex III to this Regulation for the following activities:</w:t>
            </w:r>
            <w:r>
              <w:rPr>
                <w:sz w:val="20"/>
                <w:szCs w:val="20"/>
                <w:highlight w:val="green"/>
                <w:lang w:eastAsia="en-GB"/>
              </w:rPr>
              <w:t xml:space="preserve"> </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Образложење оцене: Одредба 16.1. Уредбе није пренета Законом,  јер се односи на финансирање европских организација заинтересованих страна, од стране ЕУ.</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16.1.a)</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eastAsia="en-GB"/>
              </w:rPr>
              <w:t xml:space="preserve">the functioning of these organisations and of their activities relating to European and international standardisation, including the processing of technical work and the provision of information to members and other interested parties; </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Образложење оцене: Одредба 16.1. а) Уредбе није пренета Законом,  јер се односи на финансирање  европских организација заинтересованих страна, од стране ЕУ.</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Height w:val="1092"/>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16.1.b)</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eastAsia="en-GB"/>
              </w:rPr>
            </w:pPr>
            <w:r>
              <w:rPr>
                <w:sz w:val="20"/>
                <w:szCs w:val="20"/>
                <w:lang w:eastAsia="en-GB"/>
              </w:rPr>
              <w:t xml:space="preserve">the provision of legal and technical expertise, including studies, in relation to assessment of the need for, and the development of, European standards and European standardisation deliverables and training of experts; </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Образложење оцене: Одредба 16.1. б) Уредбе није пренета Законом,  јер се односи на финансирање  европских организација заинтересованих страна, од стране ЕУ.</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lastRenderedPageBreak/>
              <w:t>16.1 (c)</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rPr>
            </w:pPr>
            <w:r>
              <w:rPr>
                <w:sz w:val="20"/>
                <w:szCs w:val="20"/>
                <w:lang w:eastAsia="en-GB"/>
              </w:rPr>
              <w:t xml:space="preserve">the participation in the technical work with respect to the development and revision of European standards and European standardisation deliverables which is necessary and suitable for the support of Union legislation and policies; </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Образложење оцене: Одредба 16.1. ц) Уредбе није пренета Законом,  јер се односи на финансирање  европских организација заинтересованих страна, од стране ЕУ.</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16.1 (d)</w:t>
            </w:r>
          </w:p>
        </w:tc>
        <w:tc>
          <w:tcPr>
            <w:tcW w:w="4583" w:type="dxa"/>
            <w:gridSpan w:val="2"/>
            <w:tcBorders>
              <w:top w:val="single" w:sz="4" w:space="0" w:color="000000"/>
              <w:left w:val="single" w:sz="4" w:space="0" w:color="000000"/>
              <w:bottom w:val="single" w:sz="4" w:space="0" w:color="000000"/>
              <w:right w:val="single" w:sz="4" w:space="0" w:color="000000"/>
            </w:tcBorders>
          </w:tcPr>
          <w:p w:rsidR="0017553A" w:rsidRDefault="0017553A">
            <w:pPr>
              <w:pStyle w:val="CM4"/>
              <w:rPr>
                <w:rFonts w:ascii="Times New Roman" w:hAnsi="Times New Roman"/>
                <w:sz w:val="20"/>
                <w:szCs w:val="20"/>
                <w:lang w:eastAsia="en-GB"/>
              </w:rPr>
            </w:pPr>
            <w:r>
              <w:rPr>
                <w:rFonts w:ascii="Times New Roman" w:hAnsi="Times New Roman"/>
                <w:sz w:val="20"/>
                <w:szCs w:val="20"/>
                <w:lang w:eastAsia="en-GB"/>
              </w:rPr>
              <w:t>the promotion of European standards and European standardisation deliverables, and the information on, and use of, standards among interested parties, including SMEs and consumers.</w:t>
            </w:r>
          </w:p>
          <w:p w:rsidR="0017553A" w:rsidRDefault="0017553A">
            <w:pPr>
              <w:rPr>
                <w:rFonts w:ascii="Times New Roman" w:hAnsi="Times New Roman"/>
                <w:sz w:val="20"/>
                <w:szCs w:val="20"/>
                <w:lang w:val="sr-Cyrl-CS"/>
              </w:rPr>
            </w:pP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Образложење оцене: Одредба 16.1. д) Уредбе није пренета Законом,  јер се односи на финансирање  европских организација заинтересованих страна, од стране ЕУ.</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17.1.</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eastAsia="en-GB"/>
              </w:rPr>
              <w:t>Financing by the Union shall be provided in the form of:</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 xml:space="preserve">Образложење оцене: Одредба </w:t>
            </w:r>
            <w:r>
              <w:rPr>
                <w:sz w:val="20"/>
                <w:szCs w:val="20"/>
                <w:lang w:eastAsia="en-GB"/>
              </w:rPr>
              <w:t>17</w:t>
            </w:r>
            <w:r>
              <w:rPr>
                <w:sz w:val="20"/>
                <w:szCs w:val="20"/>
                <w:lang w:val="sr-Cyrl-CS" w:eastAsia="en-GB"/>
              </w:rPr>
              <w:t>.1. Уредбе није пренета Законом,  јер се односи на начин финансирања од стране ЕУ.</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17.1.a)</w:t>
            </w:r>
          </w:p>
        </w:tc>
        <w:tc>
          <w:tcPr>
            <w:tcW w:w="4583" w:type="dxa"/>
            <w:gridSpan w:val="2"/>
            <w:tcBorders>
              <w:top w:val="single" w:sz="4" w:space="0" w:color="000000"/>
              <w:left w:val="single" w:sz="4" w:space="0" w:color="000000"/>
              <w:bottom w:val="single" w:sz="4" w:space="0" w:color="000000"/>
              <w:right w:val="single" w:sz="4" w:space="0" w:color="000000"/>
            </w:tcBorders>
          </w:tcPr>
          <w:p w:rsidR="0017553A" w:rsidRDefault="0017553A">
            <w:pPr>
              <w:pStyle w:val="CM4"/>
              <w:rPr>
                <w:rFonts w:ascii="Times New Roman" w:hAnsi="Times New Roman"/>
                <w:sz w:val="20"/>
                <w:szCs w:val="20"/>
                <w:lang w:eastAsia="en-GB"/>
              </w:rPr>
            </w:pPr>
            <w:r>
              <w:rPr>
                <w:rFonts w:ascii="Times New Roman" w:hAnsi="Times New Roman"/>
                <w:sz w:val="20"/>
                <w:szCs w:val="20"/>
                <w:lang w:eastAsia="en-GB"/>
              </w:rPr>
              <w:t xml:space="preserve">grants without a call for proposals, or contracts after public procurement procedures, to: </w:t>
            </w:r>
          </w:p>
          <w:p w:rsidR="0017553A" w:rsidRDefault="0017553A">
            <w:pPr>
              <w:pStyle w:val="CM4"/>
              <w:jc w:val="both"/>
              <w:rPr>
                <w:rFonts w:ascii="Times New Roman" w:hAnsi="Times New Roman"/>
                <w:sz w:val="20"/>
                <w:szCs w:val="20"/>
                <w:lang w:eastAsia="en-GB"/>
              </w:rPr>
            </w:pPr>
          </w:p>
          <w:p w:rsidR="0017553A" w:rsidRDefault="0017553A">
            <w:pPr>
              <w:pStyle w:val="CM4"/>
              <w:rPr>
                <w:rFonts w:ascii="Times New Roman" w:hAnsi="Times New Roman"/>
                <w:sz w:val="20"/>
                <w:szCs w:val="20"/>
                <w:lang w:val="sr-Cyrl-CS" w:eastAsia="en-GB"/>
              </w:rPr>
            </w:pPr>
            <w:r>
              <w:rPr>
                <w:rFonts w:ascii="Times New Roman" w:hAnsi="Times New Roman"/>
                <w:sz w:val="20"/>
                <w:szCs w:val="20"/>
                <w:lang w:eastAsia="en-GB"/>
              </w:rPr>
              <w:t xml:space="preserve">(i) European standardisation organisations and national standardisation bodies to carry out the activities referred to in Article 15(1); </w:t>
            </w:r>
          </w:p>
          <w:p w:rsidR="0017553A" w:rsidRDefault="0017553A">
            <w:pPr>
              <w:pStyle w:val="CM4"/>
              <w:jc w:val="both"/>
              <w:rPr>
                <w:rFonts w:ascii="Times New Roman" w:hAnsi="Times New Roman"/>
                <w:sz w:val="20"/>
                <w:szCs w:val="20"/>
                <w:lang w:val="sr-Cyrl-CS" w:eastAsia="en-GB"/>
              </w:rPr>
            </w:pPr>
          </w:p>
          <w:p w:rsidR="0017553A" w:rsidRDefault="0017553A">
            <w:pPr>
              <w:pStyle w:val="CM4"/>
              <w:jc w:val="both"/>
              <w:rPr>
                <w:rFonts w:ascii="Times New Roman" w:hAnsi="Times New Roman"/>
                <w:sz w:val="20"/>
                <w:szCs w:val="20"/>
                <w:lang w:val="sr-Cyrl-CS" w:eastAsia="en-GB"/>
              </w:rPr>
            </w:pPr>
            <w:r>
              <w:rPr>
                <w:rFonts w:ascii="Times New Roman" w:hAnsi="Times New Roman"/>
                <w:sz w:val="20"/>
                <w:szCs w:val="20"/>
                <w:lang w:eastAsia="en-GB"/>
              </w:rPr>
              <w:t xml:space="preserve">(ii) bodies identified by a basic act, within the meaning of Article 49 of Regulation (EC, Euratom) No </w:t>
            </w:r>
            <w:r>
              <w:rPr>
                <w:rFonts w:ascii="Times New Roman" w:hAnsi="Times New Roman"/>
                <w:sz w:val="20"/>
                <w:szCs w:val="20"/>
                <w:lang w:eastAsia="en-GB"/>
              </w:rPr>
              <w:lastRenderedPageBreak/>
              <w:t xml:space="preserve">1605/2002, to carry out, in collaboration with the European standardisation organisations the activities referred to in point (c) of Article 15(1) of this Regulation; </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rFonts w:ascii="Times New Roman" w:hAnsi="Times New Roman"/>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 xml:space="preserve">Образложење оцене: Одредба </w:t>
            </w:r>
            <w:r>
              <w:rPr>
                <w:sz w:val="20"/>
                <w:szCs w:val="20"/>
                <w:lang w:eastAsia="en-GB"/>
              </w:rPr>
              <w:t>17</w:t>
            </w:r>
            <w:r>
              <w:rPr>
                <w:sz w:val="20"/>
                <w:szCs w:val="20"/>
                <w:lang w:val="sr-Cyrl-CS" w:eastAsia="en-GB"/>
              </w:rPr>
              <w:t>.1. а) Уредбе није пренета Законом,  јер се односи на начин финансирања од стране ЕУ.</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lastRenderedPageBreak/>
              <w:t>17.1.b)</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pStyle w:val="CM4"/>
              <w:jc w:val="both"/>
              <w:rPr>
                <w:rFonts w:ascii="Times New Roman" w:hAnsi="Times New Roman"/>
                <w:sz w:val="20"/>
                <w:szCs w:val="20"/>
                <w:lang w:eastAsia="en-GB"/>
              </w:rPr>
            </w:pPr>
            <w:r>
              <w:rPr>
                <w:rFonts w:ascii="Times New Roman" w:hAnsi="Times New Roman"/>
                <w:sz w:val="20"/>
                <w:szCs w:val="20"/>
                <w:lang w:eastAsia="en-GB"/>
              </w:rPr>
              <w:t xml:space="preserve">grants after a call for proposals, or contracts after public procurement procedures, to other bodies referred to in point (b) of Article 15(2): </w:t>
            </w:r>
          </w:p>
          <w:p w:rsidR="0017553A" w:rsidRDefault="0017553A">
            <w:pPr>
              <w:pStyle w:val="CM4"/>
              <w:jc w:val="both"/>
              <w:rPr>
                <w:rFonts w:ascii="Times New Roman" w:hAnsi="Times New Roman"/>
                <w:sz w:val="20"/>
                <w:szCs w:val="20"/>
                <w:lang w:eastAsia="en-GB"/>
              </w:rPr>
            </w:pPr>
            <w:r>
              <w:rPr>
                <w:rFonts w:ascii="Times New Roman" w:hAnsi="Times New Roman"/>
                <w:sz w:val="20"/>
                <w:szCs w:val="20"/>
                <w:lang w:eastAsia="en-GB"/>
              </w:rPr>
              <w:t xml:space="preserve">(i) for contributing to the development and revision of European standards or European standardisation deliverables referred to in point (a) of Article 15(1); </w:t>
            </w:r>
          </w:p>
          <w:p w:rsidR="0017553A" w:rsidRDefault="0017553A">
            <w:pPr>
              <w:pStyle w:val="CM4"/>
              <w:jc w:val="both"/>
              <w:rPr>
                <w:rFonts w:ascii="Times New Roman" w:hAnsi="Times New Roman"/>
                <w:sz w:val="20"/>
                <w:szCs w:val="20"/>
                <w:lang w:eastAsia="en-GB"/>
              </w:rPr>
            </w:pPr>
            <w:r>
              <w:rPr>
                <w:rFonts w:ascii="Times New Roman" w:hAnsi="Times New Roman"/>
                <w:sz w:val="20"/>
                <w:szCs w:val="20"/>
                <w:lang w:eastAsia="en-GB"/>
              </w:rPr>
              <w:t xml:space="preserve">(ii) for carrying out the preliminary or ancillary work referred to in point (c) of Article 15(1); </w:t>
            </w:r>
          </w:p>
          <w:p w:rsidR="0017553A" w:rsidRDefault="0017553A">
            <w:pPr>
              <w:spacing w:after="0"/>
              <w:rPr>
                <w:rFonts w:ascii="Times New Roman" w:hAnsi="Times New Roman"/>
                <w:sz w:val="20"/>
                <w:szCs w:val="20"/>
                <w:lang w:val="sr-Cyrl-CS" w:eastAsia="en-GB"/>
              </w:rPr>
            </w:pPr>
            <w:r>
              <w:rPr>
                <w:sz w:val="20"/>
                <w:szCs w:val="20"/>
                <w:lang w:eastAsia="en-GB"/>
              </w:rPr>
              <w:t xml:space="preserve">(iii) for carrying out the activities referred to in point (g) of Article 15(1); </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 xml:space="preserve">Образложење оцене: Одредба </w:t>
            </w:r>
            <w:r>
              <w:rPr>
                <w:sz w:val="20"/>
                <w:szCs w:val="20"/>
                <w:lang w:eastAsia="en-GB"/>
              </w:rPr>
              <w:t>17</w:t>
            </w:r>
            <w:r>
              <w:rPr>
                <w:sz w:val="20"/>
                <w:szCs w:val="20"/>
                <w:lang w:val="sr-Cyrl-CS" w:eastAsia="en-GB"/>
              </w:rPr>
              <w:t>.1.б) Уредбе није пренета Законом,  јер се односи на начин финансирања од стране ЕУ.</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17.1.c)</w:t>
            </w:r>
          </w:p>
        </w:tc>
        <w:tc>
          <w:tcPr>
            <w:tcW w:w="4583" w:type="dxa"/>
            <w:gridSpan w:val="2"/>
            <w:tcBorders>
              <w:top w:val="single" w:sz="4" w:space="0" w:color="000000"/>
              <w:left w:val="single" w:sz="4" w:space="0" w:color="000000"/>
              <w:bottom w:val="single" w:sz="4" w:space="0" w:color="000000"/>
              <w:right w:val="single" w:sz="4" w:space="0" w:color="000000"/>
            </w:tcBorders>
          </w:tcPr>
          <w:p w:rsidR="0017553A" w:rsidRDefault="0017553A">
            <w:pPr>
              <w:pStyle w:val="CM4"/>
              <w:jc w:val="both"/>
              <w:rPr>
                <w:rFonts w:ascii="Times New Roman" w:hAnsi="Times New Roman"/>
                <w:sz w:val="20"/>
                <w:szCs w:val="20"/>
                <w:lang w:eastAsia="en-GB"/>
              </w:rPr>
            </w:pPr>
            <w:r>
              <w:rPr>
                <w:rFonts w:ascii="Times New Roman" w:hAnsi="Times New Roman"/>
                <w:sz w:val="20"/>
                <w:szCs w:val="20"/>
                <w:lang w:eastAsia="en-GB"/>
              </w:rPr>
              <w:t xml:space="preserve">grants after a call for proposals to the European stakeholder organisations meeting the criteria set out in Annex III to this Regulation to carry out the activities referred to in Article 16. </w:t>
            </w:r>
          </w:p>
          <w:p w:rsidR="0017553A" w:rsidRDefault="0017553A">
            <w:pPr>
              <w:rPr>
                <w:rFonts w:ascii="Times New Roman" w:hAnsi="Times New Roman"/>
                <w:sz w:val="20"/>
                <w:szCs w:val="20"/>
                <w:lang w:val="sr-Cyrl-CS" w:eastAsia="en-GB"/>
              </w:rPr>
            </w:pP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 xml:space="preserve">Образложење оцене: Одредба </w:t>
            </w:r>
            <w:r>
              <w:rPr>
                <w:sz w:val="20"/>
                <w:szCs w:val="20"/>
                <w:lang w:eastAsia="en-GB"/>
              </w:rPr>
              <w:t>17</w:t>
            </w:r>
            <w:r>
              <w:rPr>
                <w:sz w:val="20"/>
                <w:szCs w:val="20"/>
                <w:lang w:val="sr-Cyrl-CS" w:eastAsia="en-GB"/>
              </w:rPr>
              <w:t xml:space="preserve">.1. </w:t>
            </w:r>
            <w:r>
              <w:rPr>
                <w:sz w:val="20"/>
                <w:szCs w:val="20"/>
                <w:lang w:val="sr-Latn-CS" w:eastAsia="en-GB"/>
              </w:rPr>
              <w:t xml:space="preserve">c) </w:t>
            </w:r>
            <w:r>
              <w:rPr>
                <w:sz w:val="20"/>
                <w:szCs w:val="20"/>
                <w:lang w:val="sr-Cyrl-CS" w:eastAsia="en-GB"/>
              </w:rPr>
              <w:t>Уредбе није пренета Законом,  јер се односи на начин финансирања од стране ЕУ.</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17.2.</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eastAsia="en-GB"/>
              </w:rPr>
            </w:pPr>
            <w:r>
              <w:rPr>
                <w:sz w:val="20"/>
                <w:szCs w:val="20"/>
                <w:lang w:eastAsia="en-GB"/>
              </w:rPr>
              <w:t>The activities of the bodies referred to in paragraph 1 may be financed by:</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Latn-CS" w:eastAsia="en-GB"/>
              </w:rPr>
            </w:pPr>
            <w:r>
              <w:rPr>
                <w:sz w:val="20"/>
                <w:szCs w:val="20"/>
                <w:lang w:val="sr-Cyrl-CS" w:eastAsia="en-GB"/>
              </w:rPr>
              <w:t xml:space="preserve">Образложење оцене: Одредба </w:t>
            </w:r>
            <w:r>
              <w:rPr>
                <w:sz w:val="20"/>
                <w:szCs w:val="20"/>
                <w:lang w:eastAsia="en-GB"/>
              </w:rPr>
              <w:t>17</w:t>
            </w:r>
            <w:r>
              <w:rPr>
                <w:sz w:val="20"/>
                <w:szCs w:val="20"/>
                <w:lang w:val="sr-Cyrl-CS" w:eastAsia="en-GB"/>
              </w:rPr>
              <w:t>.2. Уредбе није пренета Законом,  јер се односи на активности које ЕУ може финансирати.</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17.2.a)</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eastAsia="en-GB"/>
              </w:rPr>
              <w:t>grants for actions;</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 xml:space="preserve">Образложење оцене: Одредба </w:t>
            </w:r>
            <w:r>
              <w:rPr>
                <w:sz w:val="20"/>
                <w:szCs w:val="20"/>
                <w:lang w:eastAsia="en-GB"/>
              </w:rPr>
              <w:t>17</w:t>
            </w:r>
            <w:r>
              <w:rPr>
                <w:sz w:val="20"/>
                <w:szCs w:val="20"/>
                <w:lang w:val="sr-Cyrl-CS" w:eastAsia="en-GB"/>
              </w:rPr>
              <w:t xml:space="preserve">.2. а) Уредбе није пренета Законом,  јер се односи на </w:t>
            </w:r>
            <w:r>
              <w:rPr>
                <w:sz w:val="20"/>
                <w:szCs w:val="20"/>
                <w:lang w:val="sr-Cyrl-CS" w:eastAsia="en-GB"/>
              </w:rPr>
              <w:lastRenderedPageBreak/>
              <w:t>активности које ЕУ може финансирати.</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lastRenderedPageBreak/>
              <w:t>17.2.b)</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rPr>
            </w:pPr>
            <w:r>
              <w:rPr>
                <w:sz w:val="20"/>
                <w:szCs w:val="20"/>
                <w:lang w:eastAsia="en-GB"/>
              </w:rPr>
              <w:t>operating grants for the European standardisation organisations and the European stakeholder organisations meeting the criteria set out in Annex III to this Regulation in accordance with the rules set out in Regulation (EC, Euratom) No 1605/2002. In the event of renewal, operating grants shall not be automatically decreased.EN L 316/24 Official Journal of the European Union 14.11.2012</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 xml:space="preserve">Образложење оцене: Одредба </w:t>
            </w:r>
            <w:r>
              <w:rPr>
                <w:sz w:val="20"/>
                <w:szCs w:val="20"/>
                <w:lang w:eastAsia="en-GB"/>
              </w:rPr>
              <w:t>17</w:t>
            </w:r>
            <w:r>
              <w:rPr>
                <w:sz w:val="20"/>
                <w:szCs w:val="20"/>
                <w:lang w:val="sr-Cyrl-CS" w:eastAsia="en-GB"/>
              </w:rPr>
              <w:t>.2. б</w:t>
            </w:r>
            <w:r>
              <w:rPr>
                <w:sz w:val="20"/>
                <w:szCs w:val="20"/>
                <w:lang w:val="sr-Latn-CS" w:eastAsia="en-GB"/>
              </w:rPr>
              <w:t xml:space="preserve">) </w:t>
            </w:r>
            <w:r>
              <w:rPr>
                <w:sz w:val="20"/>
                <w:szCs w:val="20"/>
                <w:lang w:val="sr-Cyrl-CS" w:eastAsia="en-GB"/>
              </w:rPr>
              <w:t>Уредбе није пренета Законом,  јер се односи на активности које ЕУ може финансирати.</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17.3.</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rPr>
            </w:pPr>
            <w:r>
              <w:rPr>
                <w:sz w:val="20"/>
                <w:szCs w:val="20"/>
                <w:lang w:eastAsia="en-GB"/>
              </w:rPr>
              <w:t>The Commission shall decide on the financing arrangements referred to in paragraphs 1 and 2, on the amounts of the grants and, where necessary, on the maximum percentage of financing by type of activity</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 xml:space="preserve">Образложење оцене:  Одредба </w:t>
            </w:r>
            <w:r>
              <w:rPr>
                <w:sz w:val="20"/>
                <w:szCs w:val="20"/>
                <w:lang w:eastAsia="en-GB"/>
              </w:rPr>
              <w:t>17</w:t>
            </w:r>
            <w:r>
              <w:rPr>
                <w:sz w:val="20"/>
                <w:szCs w:val="20"/>
                <w:lang w:val="sr-Cyrl-CS" w:eastAsia="en-GB"/>
              </w:rPr>
              <w:t>.</w:t>
            </w:r>
            <w:r>
              <w:rPr>
                <w:sz w:val="20"/>
                <w:szCs w:val="20"/>
                <w:lang w:val="sr-Latn-CS" w:eastAsia="en-GB"/>
              </w:rPr>
              <w:t xml:space="preserve">3. </w:t>
            </w:r>
            <w:r>
              <w:rPr>
                <w:sz w:val="20"/>
                <w:szCs w:val="20"/>
                <w:lang w:val="sr-Cyrl-CS" w:eastAsia="en-GB"/>
              </w:rPr>
              <w:t>Уредбе није пренета Законом,  јер прописује обавезе Европске комисије.</w:t>
            </w:r>
            <w:r>
              <w:rPr>
                <w:sz w:val="20"/>
                <w:szCs w:val="20"/>
                <w:lang w:val="sr-Latn-CS" w:eastAsia="en-GB"/>
              </w:rPr>
              <w:t xml:space="preserve"> </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17.4.</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pStyle w:val="CM4"/>
              <w:jc w:val="both"/>
              <w:rPr>
                <w:rFonts w:ascii="Times New Roman" w:hAnsi="Times New Roman"/>
                <w:sz w:val="20"/>
                <w:szCs w:val="20"/>
                <w:lang w:val="sr-Cyrl-CS"/>
              </w:rPr>
            </w:pPr>
            <w:r>
              <w:rPr>
                <w:rFonts w:ascii="Times New Roman" w:hAnsi="Times New Roman"/>
                <w:sz w:val="20"/>
                <w:szCs w:val="20"/>
                <w:lang w:eastAsia="en-GB"/>
              </w:rPr>
              <w:t xml:space="preserve">Except in duly justified cases, grants awarded for the standardisation activities referred to in points (a) and (b) of Article 15(1) shall take the form of lump sums and for the standardisation activities referred to in point (a) of Article 15(1) shall be paid upon fulfilment of the following conditions: </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rFonts w:ascii="Times New Roman" w:hAnsi="Times New Roman"/>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 xml:space="preserve">Образложење оцене: Одредба </w:t>
            </w:r>
            <w:r>
              <w:rPr>
                <w:sz w:val="20"/>
                <w:szCs w:val="20"/>
                <w:lang w:eastAsia="en-GB"/>
              </w:rPr>
              <w:t>17</w:t>
            </w:r>
            <w:r>
              <w:rPr>
                <w:sz w:val="20"/>
                <w:szCs w:val="20"/>
                <w:lang w:val="sr-Cyrl-CS" w:eastAsia="en-GB"/>
              </w:rPr>
              <w:t>.4.</w:t>
            </w:r>
            <w:r>
              <w:rPr>
                <w:sz w:val="20"/>
                <w:szCs w:val="20"/>
                <w:lang w:val="sr-Latn-CS" w:eastAsia="en-GB"/>
              </w:rPr>
              <w:t xml:space="preserve"> </w:t>
            </w:r>
            <w:r>
              <w:rPr>
                <w:sz w:val="20"/>
                <w:szCs w:val="20"/>
                <w:lang w:val="sr-Cyrl-CS" w:eastAsia="en-GB"/>
              </w:rPr>
              <w:t>Уредбе није пренета Законом,  јер се односи на начин финансирања од стране ЕУ.</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Height w:val="1153"/>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17.4.a)</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pStyle w:val="CM4"/>
              <w:jc w:val="both"/>
              <w:rPr>
                <w:rFonts w:ascii="Times New Roman" w:hAnsi="Times New Roman"/>
                <w:sz w:val="20"/>
                <w:szCs w:val="20"/>
                <w:lang w:val="sr-Cyrl-CS"/>
              </w:rPr>
            </w:pPr>
            <w:r>
              <w:rPr>
                <w:rFonts w:ascii="Times New Roman" w:hAnsi="Times New Roman"/>
                <w:sz w:val="20"/>
                <w:szCs w:val="20"/>
                <w:lang w:eastAsia="en-GB"/>
              </w:rPr>
              <w:t xml:space="preserve"> European standards or European standardisation deliverables requested by the Commission in accordance with Article 10 are adopted or revised within a period not exceeding the period specified in the request referred to in that Article; </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rFonts w:ascii="Times New Roman" w:hAnsi="Times New Roman"/>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 xml:space="preserve">Образложење оцене: Одредба </w:t>
            </w:r>
            <w:r>
              <w:rPr>
                <w:sz w:val="20"/>
                <w:szCs w:val="20"/>
                <w:lang w:eastAsia="en-GB"/>
              </w:rPr>
              <w:t>17</w:t>
            </w:r>
            <w:r>
              <w:rPr>
                <w:sz w:val="20"/>
                <w:szCs w:val="20"/>
                <w:lang w:val="sr-Cyrl-CS" w:eastAsia="en-GB"/>
              </w:rPr>
              <w:t>.4.</w:t>
            </w:r>
            <w:r>
              <w:rPr>
                <w:sz w:val="20"/>
                <w:szCs w:val="20"/>
                <w:lang w:val="sr-Latn-CS" w:eastAsia="en-GB"/>
              </w:rPr>
              <w:t xml:space="preserve"> </w:t>
            </w:r>
            <w:r>
              <w:rPr>
                <w:sz w:val="20"/>
                <w:szCs w:val="20"/>
                <w:lang w:val="sr-Cyrl-CS" w:eastAsia="en-GB"/>
              </w:rPr>
              <w:t>а) Уредбе није пренета Законом,  јер се односи на начин финансирања од стране ЕУ.</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lastRenderedPageBreak/>
              <w:t>17.4.b)</w:t>
            </w:r>
          </w:p>
        </w:tc>
        <w:tc>
          <w:tcPr>
            <w:tcW w:w="4583" w:type="dxa"/>
            <w:gridSpan w:val="2"/>
            <w:tcBorders>
              <w:top w:val="single" w:sz="4" w:space="0" w:color="000000"/>
              <w:left w:val="single" w:sz="4" w:space="0" w:color="000000"/>
              <w:bottom w:val="single" w:sz="4" w:space="0" w:color="000000"/>
              <w:right w:val="single" w:sz="4" w:space="0" w:color="000000"/>
            </w:tcBorders>
          </w:tcPr>
          <w:p w:rsidR="0017553A" w:rsidRDefault="0017553A">
            <w:pPr>
              <w:pStyle w:val="CM4"/>
              <w:jc w:val="both"/>
              <w:rPr>
                <w:rFonts w:ascii="Times New Roman" w:hAnsi="Times New Roman"/>
                <w:sz w:val="20"/>
                <w:szCs w:val="20"/>
                <w:lang w:eastAsia="en-GB"/>
              </w:rPr>
            </w:pPr>
            <w:r>
              <w:rPr>
                <w:rFonts w:ascii="Times New Roman" w:hAnsi="Times New Roman"/>
                <w:sz w:val="20"/>
                <w:szCs w:val="20"/>
                <w:lang w:eastAsia="en-GB"/>
              </w:rPr>
              <w:t xml:space="preserve">SMEs, consumer organisations and environmental and social stakeholders are appropriately represented and can participate in European standardisation activities, as referred to in Article 5(1). </w:t>
            </w:r>
          </w:p>
          <w:p w:rsidR="0017553A" w:rsidRDefault="0017553A">
            <w:pPr>
              <w:rPr>
                <w:rFonts w:ascii="Times New Roman" w:hAnsi="Times New Roman"/>
                <w:sz w:val="20"/>
                <w:szCs w:val="20"/>
                <w:lang w:val="sr-Cyrl-CS"/>
              </w:rPr>
            </w:pP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 xml:space="preserve">Образложење оцене: Одредба </w:t>
            </w:r>
            <w:r>
              <w:rPr>
                <w:sz w:val="20"/>
                <w:szCs w:val="20"/>
                <w:lang w:eastAsia="en-GB"/>
              </w:rPr>
              <w:t>17</w:t>
            </w:r>
            <w:r>
              <w:rPr>
                <w:sz w:val="20"/>
                <w:szCs w:val="20"/>
                <w:lang w:val="sr-Cyrl-CS" w:eastAsia="en-GB"/>
              </w:rPr>
              <w:t>.4.б)</w:t>
            </w:r>
            <w:r>
              <w:rPr>
                <w:sz w:val="20"/>
                <w:szCs w:val="20"/>
                <w:lang w:val="sr-Latn-CS" w:eastAsia="en-GB"/>
              </w:rPr>
              <w:t xml:space="preserve"> </w:t>
            </w:r>
            <w:r>
              <w:rPr>
                <w:sz w:val="20"/>
                <w:szCs w:val="20"/>
                <w:lang w:val="sr-Cyrl-CS" w:eastAsia="en-GB"/>
              </w:rPr>
              <w:t>Уредбе није пренета Законом,  јер се односи на начин финансирања од стране ЕУ.</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eastAsia="en-GB"/>
              </w:rPr>
            </w:pPr>
          </w:p>
          <w:p w:rsidR="0017553A" w:rsidRDefault="0017553A">
            <w:pPr>
              <w:spacing w:after="0"/>
              <w:rPr>
                <w:b/>
                <w:sz w:val="20"/>
                <w:szCs w:val="20"/>
                <w:lang w:eastAsia="en-GB"/>
              </w:rPr>
            </w:pPr>
            <w:r>
              <w:rPr>
                <w:b/>
                <w:sz w:val="20"/>
                <w:szCs w:val="20"/>
                <w:lang w:eastAsia="en-GB"/>
              </w:rPr>
              <w:t>17.5.</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pStyle w:val="CM4"/>
              <w:rPr>
                <w:rFonts w:ascii="Times New Roman" w:hAnsi="Times New Roman"/>
                <w:sz w:val="20"/>
                <w:szCs w:val="20"/>
                <w:lang w:val="sr-Cyrl-CS" w:eastAsia="en-GB"/>
              </w:rPr>
            </w:pPr>
            <w:r>
              <w:rPr>
                <w:rFonts w:ascii="Times New Roman" w:hAnsi="Times New Roman"/>
                <w:sz w:val="20"/>
                <w:szCs w:val="20"/>
                <w:lang w:eastAsia="en-GB"/>
              </w:rPr>
              <w:t xml:space="preserve">The common cooperation objectives and the administrative and financial conditions relating to the grants awarded to European standardisation organisations and the European stakeholder organisations meeting the criteria set out in Annex III to this Regulation shall be defined in the framework partnership agreements between the Commission and those standardisation and stakeholder organisations, in accordance with Regulations (EC, Euratom) No 1605/2002 and (EC, Euratom) No 2342/2002. The Commission shall inform the European Parliament and the Council of the conclusion of those agreements. </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rFonts w:ascii="Times New Roman" w:hAnsi="Times New Roman"/>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 xml:space="preserve">Образложење оцене: Одредба </w:t>
            </w:r>
            <w:r>
              <w:rPr>
                <w:sz w:val="20"/>
                <w:szCs w:val="20"/>
                <w:lang w:eastAsia="en-GB"/>
              </w:rPr>
              <w:t>17</w:t>
            </w:r>
            <w:r>
              <w:rPr>
                <w:sz w:val="20"/>
                <w:szCs w:val="20"/>
                <w:lang w:val="sr-Cyrl-CS" w:eastAsia="en-GB"/>
              </w:rPr>
              <w:t>.</w:t>
            </w:r>
            <w:r>
              <w:rPr>
                <w:sz w:val="20"/>
                <w:szCs w:val="20"/>
                <w:lang w:val="sr-Latn-CS" w:eastAsia="en-GB"/>
              </w:rPr>
              <w:t>5</w:t>
            </w:r>
            <w:r>
              <w:rPr>
                <w:sz w:val="20"/>
                <w:szCs w:val="20"/>
                <w:lang w:val="sr-Cyrl-CS" w:eastAsia="en-GB"/>
              </w:rPr>
              <w:t>.</w:t>
            </w:r>
            <w:r>
              <w:rPr>
                <w:sz w:val="20"/>
                <w:szCs w:val="20"/>
                <w:lang w:val="sr-Latn-CS" w:eastAsia="en-GB"/>
              </w:rPr>
              <w:t xml:space="preserve"> </w:t>
            </w:r>
            <w:r>
              <w:rPr>
                <w:sz w:val="20"/>
                <w:szCs w:val="20"/>
                <w:lang w:val="sr-Cyrl-CS" w:eastAsia="en-GB"/>
              </w:rPr>
              <w:t>Уредбе није пренета Законом,  јер се односи на начин финансирања од стране ЕУ.</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eastAsia="en-GB"/>
              </w:rPr>
            </w:pPr>
            <w:r>
              <w:rPr>
                <w:b/>
                <w:sz w:val="20"/>
                <w:szCs w:val="20"/>
                <w:lang w:eastAsia="en-GB"/>
              </w:rPr>
              <w:t>18.1.</w:t>
            </w:r>
          </w:p>
          <w:p w:rsidR="0017553A" w:rsidRDefault="0017553A">
            <w:pPr>
              <w:spacing w:after="0"/>
              <w:rPr>
                <w:b/>
                <w:sz w:val="20"/>
                <w:szCs w:val="20"/>
                <w:lang w:eastAsia="en-GB"/>
              </w:rPr>
            </w:pP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rPr>
            </w:pPr>
            <w:r>
              <w:rPr>
                <w:sz w:val="20"/>
                <w:szCs w:val="20"/>
                <w:lang w:eastAsia="en-GB"/>
              </w:rPr>
              <w:t xml:space="preserve">The appropriations determined by the budgetary authority for the financing of standardisation activities may also cover the administrative expenses relating to the preparation, monitoring, inspection, auditing and evaluation which are directly necessary for the purposes of implementing Articles 15, 16 and 17, including studies, meetings, information and publication activities, expenses relating to informatics networks for the exchange of information and any other expenditure on administrative and technical assistance which the Commission may use for standardisation activities. </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ind w:firstLine="709"/>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 xml:space="preserve">Образложење оцене: Одредба </w:t>
            </w:r>
            <w:r>
              <w:rPr>
                <w:sz w:val="20"/>
                <w:szCs w:val="20"/>
                <w:lang w:eastAsia="en-GB"/>
              </w:rPr>
              <w:t>18</w:t>
            </w:r>
            <w:r>
              <w:rPr>
                <w:sz w:val="20"/>
                <w:szCs w:val="20"/>
                <w:lang w:val="sr-Cyrl-CS" w:eastAsia="en-GB"/>
              </w:rPr>
              <w:t>.</w:t>
            </w:r>
            <w:r>
              <w:rPr>
                <w:sz w:val="20"/>
                <w:szCs w:val="20"/>
                <w:lang w:val="sr-Latn-CS" w:eastAsia="en-GB"/>
              </w:rPr>
              <w:t>1.</w:t>
            </w:r>
            <w:r>
              <w:rPr>
                <w:sz w:val="20"/>
                <w:szCs w:val="20"/>
                <w:lang w:val="sr-Cyrl-CS" w:eastAsia="en-GB"/>
              </w:rPr>
              <w:t xml:space="preserve"> Уредбе није пренета Законом,  јер се односи на начин финансирања од стране ЕУ.</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lastRenderedPageBreak/>
              <w:t>19.1.</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eastAsia="en-GB"/>
              </w:rPr>
            </w:pPr>
            <w:r>
              <w:rPr>
                <w:sz w:val="20"/>
                <w:szCs w:val="20"/>
                <w:lang w:eastAsia="en-GB"/>
              </w:rPr>
              <w:t xml:space="preserve">The Commission shall ensure that, when the activities financed under this Regulation are implemented, the financial interests of the Union are protected by the application of preventive measures against fraud, corruption and other illegal activities, by effective checks and by the recovery of amounts unduly paid and, if irregularities are detected, by effective, proportionate and dissuasive penalties, in accordance with Regulations (EC, Euratom) No 2988/95, (Euratom, EC) No 2185/96 and (EC) No 1073/1999. </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Образложење оцене: Одредба 19.1.</w:t>
            </w:r>
            <w:r>
              <w:rPr>
                <w:sz w:val="20"/>
                <w:szCs w:val="20"/>
                <w:lang w:val="sr-Latn-CS" w:eastAsia="en-GB"/>
              </w:rPr>
              <w:t xml:space="preserve"> </w:t>
            </w:r>
            <w:r>
              <w:rPr>
                <w:sz w:val="20"/>
                <w:szCs w:val="20"/>
                <w:lang w:val="sr-Cyrl-CS" w:eastAsia="en-GB"/>
              </w:rPr>
              <w:t>Уредбе није пренета Законом,  јер се односи обавезе Европске комисије с циљем заштите финансијских интереса ЕУ.</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19.2.</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pStyle w:val="CM4"/>
              <w:rPr>
                <w:rFonts w:ascii="Times New Roman" w:hAnsi="Times New Roman"/>
                <w:sz w:val="20"/>
                <w:szCs w:val="20"/>
                <w:lang w:val="sr-Cyrl-CS" w:eastAsia="en-GB"/>
              </w:rPr>
            </w:pPr>
            <w:r>
              <w:rPr>
                <w:rFonts w:ascii="Times New Roman" w:hAnsi="Times New Roman"/>
                <w:sz w:val="20"/>
                <w:szCs w:val="20"/>
                <w:lang w:eastAsia="en-GB"/>
              </w:rPr>
              <w:t xml:space="preserve">For the Union activities financed pursuant to this Regulation, the notion of irregularity defined in Article 1(2) of Regulation (EC, Euratom) No 2988/95 shall mean any infringement of a provision of Union law or any breach of a contractual obligation resulting from an act or omission by an economic operator which has, or would have, the effect of prejudicing the general budget of the Union or budgets managed by it by an unjustified item of expenditure. </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rFonts w:ascii="Times New Roman" w:hAnsi="Times New Roman"/>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Образложење оцене: Одредба 19.2.</w:t>
            </w:r>
            <w:r>
              <w:rPr>
                <w:sz w:val="20"/>
                <w:szCs w:val="20"/>
                <w:lang w:val="sr-Latn-CS" w:eastAsia="en-GB"/>
              </w:rPr>
              <w:t xml:space="preserve"> </w:t>
            </w:r>
            <w:r>
              <w:rPr>
                <w:sz w:val="20"/>
                <w:szCs w:val="20"/>
                <w:lang w:val="sr-Cyrl-CS" w:eastAsia="en-GB"/>
              </w:rPr>
              <w:t>Уредбе није пренета Законом,  јер се односи обавезе Европске комисије с циљем заштите финансијских интереса ЕУ.</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19.3.</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rPr>
            </w:pPr>
            <w:r>
              <w:rPr>
                <w:sz w:val="20"/>
                <w:szCs w:val="20"/>
                <w:lang w:eastAsia="en-GB"/>
              </w:rPr>
              <w:t xml:space="preserve">Any agreements and contracts resulting from this Regulation shall provide for monitoring and financial control by the Commission or any representative which it authorises and for audits by the European Court of Auditors, which if necessary may be conducted on the spot. </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Образложење оцене: Одредба 19.3.</w:t>
            </w:r>
            <w:r>
              <w:rPr>
                <w:sz w:val="20"/>
                <w:szCs w:val="20"/>
                <w:lang w:val="sr-Latn-CS" w:eastAsia="en-GB"/>
              </w:rPr>
              <w:t xml:space="preserve"> </w:t>
            </w:r>
            <w:r>
              <w:rPr>
                <w:sz w:val="20"/>
                <w:szCs w:val="20"/>
                <w:lang w:val="sr-Cyrl-CS" w:eastAsia="en-GB"/>
              </w:rPr>
              <w:t>Уредбе није пренета Законом,  јер се односи обавезе Европске комисије с циљем заштите финансијских интереса ЕУ.</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lastRenderedPageBreak/>
              <w:t>20.1.</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eastAsia="en-GB"/>
              </w:rPr>
            </w:pPr>
            <w:r>
              <w:rPr>
                <w:sz w:val="20"/>
                <w:szCs w:val="20"/>
                <w:lang w:eastAsia="en-GB"/>
              </w:rPr>
              <w:t xml:space="preserve">The Commission shall be empowered to adopt delegated acts in accordance with Article 21 concerning amendments to the Annexes, in order to: </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Образложење оцене: Одредба 20.</w:t>
            </w:r>
            <w:r>
              <w:rPr>
                <w:sz w:val="20"/>
                <w:szCs w:val="20"/>
                <w:lang w:val="sr-Latn-CS" w:eastAsia="en-GB"/>
              </w:rPr>
              <w:t xml:space="preserve"> </w:t>
            </w:r>
            <w:r>
              <w:rPr>
                <w:sz w:val="20"/>
                <w:szCs w:val="20"/>
                <w:lang w:val="sr-Cyrl-CS" w:eastAsia="en-GB"/>
              </w:rPr>
              <w:t>1. Уредбе није пренета Законом,  јер се односи на права Европске комисије да доноси подзаконска акта.</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20.1.a)</w:t>
            </w:r>
          </w:p>
        </w:tc>
        <w:tc>
          <w:tcPr>
            <w:tcW w:w="4583" w:type="dxa"/>
            <w:gridSpan w:val="2"/>
            <w:tcBorders>
              <w:top w:val="single" w:sz="4" w:space="0" w:color="000000"/>
              <w:left w:val="single" w:sz="4" w:space="0" w:color="000000"/>
              <w:bottom w:val="single" w:sz="4" w:space="0" w:color="000000"/>
              <w:right w:val="single" w:sz="4" w:space="0" w:color="000000"/>
            </w:tcBorders>
          </w:tcPr>
          <w:p w:rsidR="0017553A" w:rsidRDefault="0017553A">
            <w:pPr>
              <w:pStyle w:val="CM4"/>
              <w:rPr>
                <w:rFonts w:ascii="Times New Roman" w:hAnsi="Times New Roman"/>
                <w:sz w:val="20"/>
                <w:szCs w:val="20"/>
                <w:lang w:eastAsia="en-GB"/>
              </w:rPr>
            </w:pPr>
            <w:r>
              <w:rPr>
                <w:rFonts w:ascii="Times New Roman" w:hAnsi="Times New Roman"/>
                <w:sz w:val="20"/>
                <w:szCs w:val="20"/>
                <w:lang w:eastAsia="en-GB"/>
              </w:rPr>
              <w:t xml:space="preserve">update the list of European standardisation organisations set out in Annex I to take into account changes in their name or structure; </w:t>
            </w:r>
          </w:p>
          <w:p w:rsidR="0017553A" w:rsidRDefault="0017553A">
            <w:pPr>
              <w:rPr>
                <w:rFonts w:ascii="Times New Roman" w:hAnsi="Times New Roman"/>
                <w:sz w:val="20"/>
                <w:szCs w:val="20"/>
                <w:lang w:val="sr-Cyrl-CS" w:eastAsia="en-GB"/>
              </w:rPr>
            </w:pP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Образложење оцене: Одредба 20.</w:t>
            </w:r>
            <w:r>
              <w:rPr>
                <w:sz w:val="20"/>
                <w:szCs w:val="20"/>
                <w:lang w:val="sr-Latn-CS" w:eastAsia="en-GB"/>
              </w:rPr>
              <w:t xml:space="preserve"> </w:t>
            </w:r>
            <w:r>
              <w:rPr>
                <w:sz w:val="20"/>
                <w:szCs w:val="20"/>
                <w:lang w:val="sr-Cyrl-CS" w:eastAsia="en-GB"/>
              </w:rPr>
              <w:t>1.а) Уредбе није пренета Законом,  јер се односи на права Европске комисије да доноси подзаконска акта.</w:t>
            </w:r>
          </w:p>
        </w:tc>
        <w:tc>
          <w:tcPr>
            <w:tcW w:w="1796"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w:t>
            </w: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eastAsia="en-GB"/>
              </w:rPr>
            </w:pPr>
            <w:r>
              <w:rPr>
                <w:b/>
                <w:sz w:val="20"/>
                <w:szCs w:val="20"/>
                <w:lang w:eastAsia="en-GB"/>
              </w:rPr>
              <w:t>20.1. b)</w:t>
            </w:r>
          </w:p>
          <w:p w:rsidR="0017553A" w:rsidRDefault="0017553A">
            <w:pPr>
              <w:spacing w:after="0"/>
              <w:rPr>
                <w:b/>
                <w:sz w:val="20"/>
                <w:szCs w:val="20"/>
                <w:lang w:eastAsia="en-GB"/>
              </w:rPr>
            </w:pP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eastAsia="en-GB"/>
              </w:rPr>
            </w:pPr>
            <w:r>
              <w:rPr>
                <w:sz w:val="20"/>
                <w:szCs w:val="20"/>
                <w:lang w:eastAsia="en-GB"/>
              </w:rPr>
              <w:t>adapt the criteria for European stakeholder organisations set out in Annex III to this Regulation to further developments as regards their non-profit making nature and representativity. Such adaptations shall not have the effect of creating any new criteria or abolishing any existing criteria or category of organisation.</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Образложење оцене: Одредба 20.</w:t>
            </w:r>
            <w:r>
              <w:rPr>
                <w:sz w:val="20"/>
                <w:szCs w:val="20"/>
                <w:lang w:val="sr-Latn-CS" w:eastAsia="en-GB"/>
              </w:rPr>
              <w:t xml:space="preserve"> </w:t>
            </w:r>
            <w:r>
              <w:rPr>
                <w:sz w:val="20"/>
                <w:szCs w:val="20"/>
                <w:lang w:val="sr-Cyrl-CS" w:eastAsia="en-GB"/>
              </w:rPr>
              <w:t>1. б</w:t>
            </w:r>
            <w:r>
              <w:rPr>
                <w:b/>
                <w:sz w:val="20"/>
                <w:szCs w:val="20"/>
                <w:lang w:eastAsia="en-GB"/>
              </w:rPr>
              <w:t>)</w:t>
            </w:r>
            <w:r>
              <w:rPr>
                <w:sz w:val="20"/>
                <w:szCs w:val="20"/>
                <w:lang w:val="sr-Cyrl-CS" w:eastAsia="en-GB"/>
              </w:rPr>
              <w:t xml:space="preserve"> Уредбе није пренета Законом,  јер се односи на права Европске комисије да доноси подзаконска акта.</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21.1.</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pStyle w:val="CM4"/>
              <w:rPr>
                <w:rFonts w:ascii="Times New Roman" w:hAnsi="Times New Roman"/>
                <w:sz w:val="20"/>
                <w:szCs w:val="20"/>
                <w:lang w:eastAsia="en-GB"/>
              </w:rPr>
            </w:pPr>
            <w:r>
              <w:rPr>
                <w:rFonts w:ascii="Times New Roman" w:hAnsi="Times New Roman"/>
                <w:sz w:val="20"/>
                <w:szCs w:val="20"/>
                <w:lang w:eastAsia="en-GB"/>
              </w:rPr>
              <w:t xml:space="preserve">1. The power to adopt delegated acts is conferred on the Commission subject to the conditions laid down in this Article. </w:t>
            </w:r>
          </w:p>
          <w:p w:rsidR="0017553A" w:rsidRDefault="0017553A">
            <w:pPr>
              <w:rPr>
                <w:rFonts w:ascii="Times New Roman" w:hAnsi="Times New Roman"/>
                <w:sz w:val="20"/>
                <w:szCs w:val="20"/>
                <w:lang w:val="sr-Cyrl-CS"/>
              </w:rPr>
            </w:pPr>
            <w:r>
              <w:rPr>
                <w:sz w:val="20"/>
                <w:szCs w:val="20"/>
                <w:lang w:eastAsia="en-GB"/>
              </w:rPr>
              <w:t xml:space="preserve">23. 4. 5. </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Образложење оцене: Одредба 21.1. Уредбе није пренета Законом,  јер се односи на права Европске комисије да доноси подзаконска акта.</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Height w:val="2061"/>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lastRenderedPageBreak/>
              <w:t>21.2</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pStyle w:val="CM4"/>
              <w:jc w:val="both"/>
              <w:rPr>
                <w:rFonts w:ascii="Times New Roman" w:hAnsi="Times New Roman"/>
                <w:sz w:val="20"/>
                <w:szCs w:val="20"/>
                <w:lang w:val="sr-Cyrl-CS" w:eastAsia="en-GB"/>
              </w:rPr>
            </w:pPr>
            <w:r>
              <w:rPr>
                <w:rFonts w:ascii="Times New Roman" w:hAnsi="Times New Roman"/>
                <w:sz w:val="20"/>
                <w:szCs w:val="20"/>
                <w:lang w:eastAsia="en-GB"/>
              </w:rPr>
              <w:t>The power to adopt delegated acts referred to in Article 20 shall be conferred on the Commission for a period of five years from 1 January 2013. The Commission shall draw up a report in respect of the delegation of power not later than nine months before the end of the five-year period. The delegation of power shall be tacitly extended for periods of an identical duration, unless the European Parliament or the Council opposes such extension not later than three months before the end of each period.EN 14.11.2012 Official Journal of the European Union L 316/25.</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rFonts w:ascii="Times New Roman" w:hAnsi="Times New Roman"/>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Образложење оцене: Одредба 21.2. Уредбе није пренета Законом,  јер се односи на права Европске комисије да доноси подзаконска акта.</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21.3.</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rPr>
            </w:pPr>
            <w:r>
              <w:rPr>
                <w:sz w:val="20"/>
                <w:szCs w:val="20"/>
                <w:lang w:eastAsia="en-GB"/>
              </w:rPr>
              <w:t xml:space="preserve">The delegation of power referred to in Article 20 may be revoked at any time by the European Parliament or by the Council. A decision to revoke shall put an end to the delegation of the power specified in that decision. It shall take effect the day following the publication of the decision in the </w:t>
            </w:r>
            <w:r>
              <w:rPr>
                <w:i/>
                <w:iCs/>
                <w:sz w:val="20"/>
                <w:szCs w:val="20"/>
                <w:lang w:eastAsia="en-GB"/>
              </w:rPr>
              <w:t xml:space="preserve">Official Journal of the European Union </w:t>
            </w:r>
            <w:r>
              <w:rPr>
                <w:sz w:val="20"/>
                <w:szCs w:val="20"/>
                <w:lang w:eastAsia="en-GB"/>
              </w:rPr>
              <w:t xml:space="preserve">or at a later date specified therein. It shall not affect the validity of any delegated acts already in force. </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Образложење оцене: Одредба 21.3. Уредбе није пренета Законом,  јер се односи на права Европске комисије да доноси подзаконска акта.</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Height w:val="1129"/>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21.4.</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tabs>
                <w:tab w:val="left" w:pos="223"/>
                <w:tab w:val="left" w:pos="751"/>
                <w:tab w:val="left" w:pos="932"/>
              </w:tabs>
              <w:rPr>
                <w:sz w:val="20"/>
                <w:szCs w:val="20"/>
                <w:lang w:val="sr-Cyrl-CS" w:eastAsia="en-GB"/>
              </w:rPr>
            </w:pPr>
            <w:r>
              <w:rPr>
                <w:sz w:val="20"/>
                <w:szCs w:val="20"/>
                <w:lang w:eastAsia="en-GB"/>
              </w:rPr>
              <w:t xml:space="preserve">As soon as it adopts a delegated act, the Commission shall notify it simultaneously to the European Parliament and to the Council. </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Образложење оцене: Одредба 21.4. Уредбе није пренета Законом,  јер  прописује обавезе Европске комисије.</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21.5.</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eastAsia="en-GB"/>
              </w:rPr>
            </w:pPr>
            <w:r>
              <w:rPr>
                <w:sz w:val="20"/>
                <w:szCs w:val="20"/>
                <w:lang w:eastAsia="en-GB"/>
              </w:rPr>
              <w:t xml:space="preserve">A delegated act adopted pursuant to Article 20 shall enter into force only if no objection has been expressed either by the European Parliament or the Council within a period of two months of notification of that act to the European Parliament and the </w:t>
            </w:r>
            <w:r>
              <w:rPr>
                <w:sz w:val="20"/>
                <w:szCs w:val="20"/>
                <w:lang w:eastAsia="en-GB"/>
              </w:rPr>
              <w:lastRenderedPageBreak/>
              <w:t>Council or if, before the expiry of that period, the European Parliament and the Council have both informed the Commission that they will not object. That period shall be extended by two months at the initiative of the European Parliament or of the Council.</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 xml:space="preserve">Образложење оцене: Одредба 21.5. Уредбе није пренета Законом, јер прописује начин </w:t>
            </w:r>
            <w:r>
              <w:rPr>
                <w:sz w:val="20"/>
                <w:szCs w:val="20"/>
                <w:lang w:val="sr-Cyrl-CS" w:eastAsia="en-GB"/>
              </w:rPr>
              <w:lastRenderedPageBreak/>
              <w:t>ступања на снагу подзаконских аката.</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lastRenderedPageBreak/>
              <w:t>22.1.</w:t>
            </w:r>
          </w:p>
        </w:tc>
        <w:tc>
          <w:tcPr>
            <w:tcW w:w="4583" w:type="dxa"/>
            <w:gridSpan w:val="2"/>
            <w:tcBorders>
              <w:top w:val="single" w:sz="4" w:space="0" w:color="000000"/>
              <w:left w:val="single" w:sz="4" w:space="0" w:color="000000"/>
              <w:bottom w:val="single" w:sz="4" w:space="0" w:color="000000"/>
              <w:right w:val="single" w:sz="4" w:space="0" w:color="000000"/>
            </w:tcBorders>
          </w:tcPr>
          <w:p w:rsidR="0017553A" w:rsidRDefault="0017553A">
            <w:pPr>
              <w:pStyle w:val="CM4"/>
              <w:jc w:val="both"/>
              <w:rPr>
                <w:rFonts w:ascii="Times New Roman" w:hAnsi="Times New Roman"/>
                <w:sz w:val="20"/>
                <w:szCs w:val="20"/>
                <w:lang w:eastAsia="en-GB"/>
              </w:rPr>
            </w:pPr>
            <w:r>
              <w:rPr>
                <w:rFonts w:ascii="Times New Roman" w:hAnsi="Times New Roman"/>
                <w:sz w:val="20"/>
                <w:szCs w:val="20"/>
                <w:lang w:eastAsia="en-GB"/>
              </w:rPr>
              <w:t xml:space="preserve">1. The Commission shall be assisted by a committee. That committee shall be a committee within the meaning of Regulation (EU) No 182/2011. </w:t>
            </w:r>
          </w:p>
          <w:p w:rsidR="0017553A" w:rsidRDefault="0017553A">
            <w:pPr>
              <w:tabs>
                <w:tab w:val="left" w:pos="223"/>
              </w:tabs>
              <w:rPr>
                <w:rFonts w:ascii="Times New Roman" w:hAnsi="Times New Roman"/>
                <w:sz w:val="20"/>
                <w:szCs w:val="20"/>
                <w:lang w:val="sr-Cyrl-CS" w:eastAsia="en-GB"/>
              </w:rPr>
            </w:pP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Образложење оцене:  Одредба 22.1. Уредбе није пренета Законом, јер се односи на обавезе комитета који помаже  Европској комисији.</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22.2.</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eastAsia="en-GB"/>
              </w:rPr>
              <w:t>Where reference is made to this paragraph, Article 4 of Regulation (EU) No 182/2011 shall apply.</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Образложење оцене:  Одредба 22. 2. Уредбе није пренета Законом, јер се односи на обавезе комитета који помаже  Европској комисији.</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22.3.</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eastAsia="en-GB"/>
              </w:rPr>
              <w:t>Where reference is made to this paragraph, Article 5 of Regulation (EU) No 182/2011 shall apply.</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Образложење оцене:  Одредба 22. 3. Уредбе није пренета Законом, јер се односи на обавезе комитета који помаже  Европској комисији.</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22.4.</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eastAsia="en-GB"/>
              </w:rPr>
            </w:pPr>
            <w:r>
              <w:rPr>
                <w:sz w:val="20"/>
                <w:szCs w:val="20"/>
                <w:lang w:eastAsia="en-GB"/>
              </w:rPr>
              <w:t xml:space="preserve">Where the opinion of the committee is to be obtained by written procedure, that procedure shall be terminated without result when, within the time-limit for delivery of the opinion, the chair of the </w:t>
            </w:r>
            <w:r>
              <w:rPr>
                <w:sz w:val="20"/>
                <w:szCs w:val="20"/>
                <w:lang w:eastAsia="en-GB"/>
              </w:rPr>
              <w:lastRenderedPageBreak/>
              <w:t>committee so decides or a simple majority of committee members so request.</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 xml:space="preserve">Образложење оцене:  Одредба 22. 4. Уредбе није пренета Законом, јер се односи на обавезе </w:t>
            </w:r>
            <w:r>
              <w:rPr>
                <w:sz w:val="20"/>
                <w:szCs w:val="20"/>
                <w:lang w:val="sr-Cyrl-CS" w:eastAsia="en-GB"/>
              </w:rPr>
              <w:lastRenderedPageBreak/>
              <w:t>комитета који помаже  Европској комисији .</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Height w:val="1285"/>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lastRenderedPageBreak/>
              <w:t>23.1.</w:t>
            </w:r>
          </w:p>
        </w:tc>
        <w:tc>
          <w:tcPr>
            <w:tcW w:w="4583" w:type="dxa"/>
            <w:gridSpan w:val="2"/>
            <w:tcBorders>
              <w:top w:val="single" w:sz="4" w:space="0" w:color="000000"/>
              <w:left w:val="single" w:sz="4" w:space="0" w:color="000000"/>
              <w:bottom w:val="single" w:sz="4" w:space="0" w:color="000000"/>
              <w:right w:val="single" w:sz="4" w:space="0" w:color="000000"/>
            </w:tcBorders>
          </w:tcPr>
          <w:p w:rsidR="0017553A" w:rsidRDefault="0017553A">
            <w:pPr>
              <w:pStyle w:val="CM4"/>
              <w:jc w:val="both"/>
              <w:rPr>
                <w:rFonts w:ascii="Times New Roman" w:hAnsi="Times New Roman"/>
                <w:sz w:val="20"/>
                <w:szCs w:val="20"/>
                <w:lang w:eastAsia="en-GB"/>
              </w:rPr>
            </w:pPr>
            <w:r>
              <w:rPr>
                <w:rFonts w:ascii="Times New Roman" w:hAnsi="Times New Roman"/>
                <w:sz w:val="20"/>
                <w:szCs w:val="20"/>
                <w:lang w:eastAsia="en-GB"/>
              </w:rPr>
              <w:t xml:space="preserve">The committee referred to in Article 22(1) shall work in cooperation with the European standardisation organisations and the European stakeholder organisations receiving Union financing in accordance with this Regulation. </w:t>
            </w:r>
          </w:p>
          <w:p w:rsidR="0017553A" w:rsidRDefault="0017553A">
            <w:pPr>
              <w:rPr>
                <w:rFonts w:ascii="Times New Roman" w:hAnsi="Times New Roman"/>
                <w:sz w:val="20"/>
                <w:szCs w:val="20"/>
                <w:lang w:eastAsia="en-GB"/>
              </w:rPr>
            </w:pPr>
          </w:p>
          <w:p w:rsidR="0017553A" w:rsidRDefault="0017553A">
            <w:pPr>
              <w:rPr>
                <w:sz w:val="20"/>
                <w:szCs w:val="20"/>
                <w:lang w:val="sr-Cyrl-CS" w:eastAsia="en-GB"/>
              </w:rPr>
            </w:pP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Образложење оцене:  Одредба 23.1. Уредбе није пренета Законом, јер се односи на обавезе комитета који помаже  Европској комисији .</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24.1.1.</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pStyle w:val="CM4"/>
              <w:jc w:val="both"/>
              <w:rPr>
                <w:rFonts w:ascii="Times New Roman" w:hAnsi="Times New Roman"/>
                <w:sz w:val="20"/>
                <w:szCs w:val="20"/>
                <w:lang w:eastAsia="en-GB"/>
              </w:rPr>
            </w:pPr>
            <w:r>
              <w:rPr>
                <w:rFonts w:ascii="Times New Roman" w:hAnsi="Times New Roman"/>
                <w:sz w:val="20"/>
                <w:szCs w:val="20"/>
                <w:lang w:eastAsia="en-GB"/>
              </w:rPr>
              <w:t xml:space="preserve">The European standardisation organisations shall send an annual report on the implementation of this Regulation to the Commission. It shall contain detailed information on the following: </w:t>
            </w:r>
          </w:p>
          <w:p w:rsidR="0017553A" w:rsidRDefault="0017553A">
            <w:pPr>
              <w:rPr>
                <w:rFonts w:ascii="Times New Roman" w:hAnsi="Times New Roman"/>
                <w:sz w:val="20"/>
                <w:szCs w:val="20"/>
                <w:lang w:val="sr-Cyrl-CS"/>
              </w:rPr>
            </w:pPr>
            <w:r>
              <w:rPr>
                <w:sz w:val="20"/>
                <w:szCs w:val="20"/>
                <w:lang w:eastAsia="en-GB"/>
              </w:rPr>
              <w:t xml:space="preserve"> </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en-GB"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Образложење оцене:  Одредба 24.1.1. Уредбе није пренета Законом, јер прописује обавезе европских организација за стандардизацију.</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24.1.1.a)</w:t>
            </w:r>
          </w:p>
        </w:tc>
        <w:tc>
          <w:tcPr>
            <w:tcW w:w="4583" w:type="dxa"/>
            <w:gridSpan w:val="2"/>
            <w:tcBorders>
              <w:top w:val="single" w:sz="4" w:space="0" w:color="000000"/>
              <w:left w:val="single" w:sz="4" w:space="0" w:color="000000"/>
              <w:bottom w:val="single" w:sz="4" w:space="0" w:color="000000"/>
              <w:right w:val="single" w:sz="4" w:space="0" w:color="000000"/>
            </w:tcBorders>
          </w:tcPr>
          <w:p w:rsidR="0017553A" w:rsidRDefault="0017553A">
            <w:pPr>
              <w:pStyle w:val="CM4"/>
              <w:jc w:val="both"/>
              <w:rPr>
                <w:rFonts w:ascii="Times New Roman" w:hAnsi="Times New Roman"/>
                <w:sz w:val="20"/>
                <w:szCs w:val="20"/>
                <w:lang w:eastAsia="en-GB"/>
              </w:rPr>
            </w:pPr>
            <w:r>
              <w:rPr>
                <w:rFonts w:ascii="Times New Roman" w:hAnsi="Times New Roman"/>
                <w:sz w:val="20"/>
                <w:szCs w:val="20"/>
                <w:lang w:eastAsia="en-GB"/>
              </w:rPr>
              <w:t xml:space="preserve">(a) the application of Articles 4, 5, 10, 15 and 17; </w:t>
            </w:r>
          </w:p>
          <w:p w:rsidR="0017553A" w:rsidRDefault="0017553A">
            <w:pPr>
              <w:spacing w:after="0"/>
              <w:rPr>
                <w:rFonts w:ascii="Times New Roman" w:hAnsi="Times New Roman"/>
                <w:sz w:val="20"/>
                <w:szCs w:val="20"/>
                <w:lang w:val="sr-Cyrl-CS" w:eastAsia="en-GB"/>
              </w:rPr>
            </w:pP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Образложење оцене:  Одредба 24.1.1.</w:t>
            </w:r>
            <w:r>
              <w:rPr>
                <w:sz w:val="20"/>
                <w:szCs w:val="20"/>
                <w:lang w:eastAsia="en-GB"/>
              </w:rPr>
              <w:t>a)</w:t>
            </w:r>
            <w:r>
              <w:rPr>
                <w:sz w:val="20"/>
                <w:szCs w:val="20"/>
                <w:lang w:val="sr-Cyrl-CS" w:eastAsia="en-GB"/>
              </w:rPr>
              <w:t xml:space="preserve"> Уредбе није пренета Законом, јер прописује обавезе европских организација за стандардизацију.</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24.1.1.b)</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eastAsia="en-GB"/>
              </w:rPr>
            </w:pPr>
            <w:r>
              <w:rPr>
                <w:sz w:val="20"/>
                <w:szCs w:val="20"/>
                <w:lang w:eastAsia="en-GB"/>
              </w:rPr>
              <w:t>the representation of SMEs, consumer organisations and environmental and social stakeholders in national standardisation bodies;</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Latn-CS" w:eastAsia="en-GB"/>
              </w:rPr>
            </w:pPr>
            <w:r>
              <w:rPr>
                <w:sz w:val="20"/>
                <w:szCs w:val="20"/>
                <w:lang w:val="sr-Cyrl-CS" w:eastAsia="en-GB"/>
              </w:rPr>
              <w:t xml:space="preserve">Образложење оцене:  Одредба 24.1.1. </w:t>
            </w:r>
            <w:r>
              <w:rPr>
                <w:sz w:val="20"/>
                <w:szCs w:val="20"/>
                <w:lang w:eastAsia="en-GB"/>
              </w:rPr>
              <w:t>b)</w:t>
            </w:r>
            <w:r>
              <w:rPr>
                <w:sz w:val="20"/>
                <w:szCs w:val="20"/>
                <w:lang w:val="sr-Cyrl-CS" w:eastAsia="en-GB"/>
              </w:rPr>
              <w:t xml:space="preserve"> Уредбе није пренета Законом, јер прописује обавезе европских </w:t>
            </w:r>
            <w:r>
              <w:rPr>
                <w:sz w:val="20"/>
                <w:szCs w:val="20"/>
                <w:lang w:val="sr-Cyrl-CS" w:eastAsia="en-GB"/>
              </w:rPr>
              <w:lastRenderedPageBreak/>
              <w:t>организација за стандардизацију</w:t>
            </w:r>
            <w:r>
              <w:rPr>
                <w:sz w:val="20"/>
                <w:szCs w:val="20"/>
                <w:lang w:val="sr-Latn-CS" w:eastAsia="en-GB"/>
              </w:rPr>
              <w:t>.</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lastRenderedPageBreak/>
              <w:t>24.1.1.c)</w:t>
            </w:r>
          </w:p>
        </w:tc>
        <w:tc>
          <w:tcPr>
            <w:tcW w:w="4583" w:type="dxa"/>
            <w:gridSpan w:val="2"/>
            <w:tcBorders>
              <w:top w:val="single" w:sz="4" w:space="0" w:color="000000"/>
              <w:left w:val="single" w:sz="4" w:space="0" w:color="000000"/>
              <w:bottom w:val="single" w:sz="4" w:space="0" w:color="000000"/>
              <w:right w:val="single" w:sz="4" w:space="0" w:color="000000"/>
            </w:tcBorders>
          </w:tcPr>
          <w:p w:rsidR="0017553A" w:rsidRDefault="0017553A">
            <w:pPr>
              <w:pStyle w:val="CM4"/>
              <w:jc w:val="both"/>
              <w:rPr>
                <w:rFonts w:ascii="Times New Roman" w:hAnsi="Times New Roman"/>
                <w:sz w:val="20"/>
                <w:szCs w:val="20"/>
                <w:lang w:eastAsia="en-GB"/>
              </w:rPr>
            </w:pPr>
            <w:r>
              <w:rPr>
                <w:rFonts w:ascii="Times New Roman" w:hAnsi="Times New Roman"/>
                <w:sz w:val="20"/>
                <w:szCs w:val="20"/>
                <w:lang w:eastAsia="en-GB"/>
              </w:rPr>
              <w:t xml:space="preserve">the representation of SMEs on the basis of the annual reports referred to in Article 6(3); </w:t>
            </w:r>
          </w:p>
          <w:p w:rsidR="0017553A" w:rsidRDefault="0017553A">
            <w:pPr>
              <w:spacing w:after="0"/>
              <w:rPr>
                <w:rFonts w:ascii="Times New Roman" w:hAnsi="Times New Roman"/>
                <w:sz w:val="20"/>
                <w:szCs w:val="20"/>
                <w:lang w:val="sr-Cyrl-CS" w:eastAsia="en-GB"/>
              </w:rPr>
            </w:pP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Latn-CS" w:eastAsia="en-GB"/>
              </w:rPr>
            </w:pPr>
            <w:r>
              <w:rPr>
                <w:sz w:val="20"/>
                <w:szCs w:val="20"/>
                <w:lang w:val="sr-Cyrl-CS" w:eastAsia="en-GB"/>
              </w:rPr>
              <w:t>Образложење оцене:  Одредба 24.1.1.</w:t>
            </w:r>
            <w:r>
              <w:rPr>
                <w:sz w:val="20"/>
                <w:szCs w:val="20"/>
                <w:lang w:eastAsia="en-GB"/>
              </w:rPr>
              <w:t xml:space="preserve">c) </w:t>
            </w:r>
            <w:r>
              <w:rPr>
                <w:sz w:val="20"/>
                <w:szCs w:val="20"/>
                <w:lang w:val="sr-Cyrl-CS" w:eastAsia="en-GB"/>
              </w:rPr>
              <w:t>Уредбе није пренета Законом, јер прописује обавезе европских организација за стандардизацију</w:t>
            </w:r>
            <w:r>
              <w:rPr>
                <w:sz w:val="20"/>
                <w:szCs w:val="20"/>
                <w:lang w:val="sr-Latn-CS" w:eastAsia="en-GB"/>
              </w:rPr>
              <w:t>.</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24.1.1.d)</w:t>
            </w:r>
          </w:p>
        </w:tc>
        <w:tc>
          <w:tcPr>
            <w:tcW w:w="4583" w:type="dxa"/>
            <w:gridSpan w:val="2"/>
            <w:tcBorders>
              <w:top w:val="single" w:sz="4" w:space="0" w:color="000000"/>
              <w:left w:val="single" w:sz="4" w:space="0" w:color="000000"/>
              <w:bottom w:val="single" w:sz="4" w:space="0" w:color="000000"/>
              <w:right w:val="single" w:sz="4" w:space="0" w:color="000000"/>
            </w:tcBorders>
          </w:tcPr>
          <w:p w:rsidR="0017553A" w:rsidRDefault="0017553A">
            <w:pPr>
              <w:pStyle w:val="CM4"/>
              <w:jc w:val="both"/>
              <w:rPr>
                <w:rFonts w:ascii="Times New Roman" w:hAnsi="Times New Roman"/>
                <w:sz w:val="20"/>
                <w:szCs w:val="20"/>
                <w:lang w:eastAsia="en-GB"/>
              </w:rPr>
            </w:pPr>
            <w:r>
              <w:rPr>
                <w:rFonts w:ascii="Times New Roman" w:hAnsi="Times New Roman"/>
                <w:sz w:val="20"/>
                <w:szCs w:val="20"/>
                <w:lang w:eastAsia="en-GB"/>
              </w:rPr>
              <w:t xml:space="preserve">(d) the use of ICT in the standardisation system; </w:t>
            </w:r>
          </w:p>
          <w:p w:rsidR="0017553A" w:rsidRDefault="0017553A">
            <w:pPr>
              <w:spacing w:after="0"/>
              <w:rPr>
                <w:rFonts w:ascii="Times New Roman" w:hAnsi="Times New Roman"/>
                <w:sz w:val="20"/>
                <w:szCs w:val="20"/>
                <w:lang w:val="sr-Cyrl-CS" w:eastAsia="en-GB"/>
              </w:rPr>
            </w:pP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Образложење оцене:  Одредба 24.1.1.</w:t>
            </w:r>
            <w:r>
              <w:rPr>
                <w:sz w:val="20"/>
                <w:szCs w:val="20"/>
                <w:lang w:eastAsia="en-GB"/>
              </w:rPr>
              <w:t xml:space="preserve">d) </w:t>
            </w:r>
            <w:r>
              <w:rPr>
                <w:sz w:val="20"/>
                <w:szCs w:val="20"/>
                <w:lang w:val="sr-Cyrl-CS" w:eastAsia="en-GB"/>
              </w:rPr>
              <w:t>Уредбе није пренета Законом, јер прописује обавезе европских организација за стандардизацију</w:t>
            </w:r>
            <w:r>
              <w:rPr>
                <w:sz w:val="20"/>
                <w:szCs w:val="20"/>
                <w:lang w:val="sr-Latn-CS" w:eastAsia="en-GB"/>
              </w:rPr>
              <w:t>.</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24.1.1.e)</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rPr>
            </w:pPr>
            <w:r>
              <w:rPr>
                <w:sz w:val="20"/>
                <w:szCs w:val="20"/>
                <w:lang w:eastAsia="en-GB"/>
              </w:rPr>
              <w:t>cooperation between the national standardisation bodies and European standardisation organisations.</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 xml:space="preserve">Образложење оцене:  Одредба 24.1.1. </w:t>
            </w:r>
            <w:r>
              <w:rPr>
                <w:sz w:val="20"/>
                <w:szCs w:val="20"/>
                <w:lang w:eastAsia="en-GB"/>
              </w:rPr>
              <w:t xml:space="preserve">e) </w:t>
            </w:r>
            <w:r>
              <w:rPr>
                <w:sz w:val="20"/>
                <w:szCs w:val="20"/>
                <w:lang w:val="sr-Cyrl-CS" w:eastAsia="en-GB"/>
              </w:rPr>
              <w:t>Уредбе није пренета Законом, јер прописује обавезе европских организација за стандардизацију</w:t>
            </w:r>
            <w:r>
              <w:rPr>
                <w:sz w:val="20"/>
                <w:szCs w:val="20"/>
                <w:lang w:val="sr-Latn-CS" w:eastAsia="en-GB"/>
              </w:rPr>
              <w:t>.</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24.2.</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rPr>
            </w:pPr>
            <w:r>
              <w:rPr>
                <w:sz w:val="20"/>
                <w:szCs w:val="20"/>
                <w:lang w:eastAsia="en-GB"/>
              </w:rPr>
              <w:t xml:space="preserve">The European stakeholder organisations that received Union financing in accordance with this Regulation shall send an annual report on their activities to the Commission. This report shall contain in particular detailed information about the </w:t>
            </w:r>
            <w:r>
              <w:rPr>
                <w:sz w:val="20"/>
                <w:szCs w:val="20"/>
                <w:lang w:eastAsia="en-GB"/>
              </w:rPr>
              <w:lastRenderedPageBreak/>
              <w:t xml:space="preserve">membership of these organisations and the activities referred to in Article 16. </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rPr>
                <w:b/>
                <w:sz w:val="20"/>
                <w:szCs w:val="20"/>
                <w:lang w:val="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Образложење оцене:  Одредба 24.</w:t>
            </w:r>
            <w:r>
              <w:rPr>
                <w:sz w:val="20"/>
                <w:szCs w:val="20"/>
                <w:lang w:val="sr-Latn-CS" w:eastAsia="en-GB"/>
              </w:rPr>
              <w:t>2.</w:t>
            </w:r>
            <w:r>
              <w:rPr>
                <w:sz w:val="20"/>
                <w:szCs w:val="20"/>
                <w:lang w:val="sr-Latn-RS" w:eastAsia="en-GB"/>
              </w:rPr>
              <w:t xml:space="preserve"> </w:t>
            </w:r>
            <w:r>
              <w:rPr>
                <w:sz w:val="20"/>
                <w:szCs w:val="20"/>
                <w:lang w:val="sr-Cyrl-CS" w:eastAsia="en-GB"/>
              </w:rPr>
              <w:t>Уредбе није пренета Законом, јер прописује обавезе европских</w:t>
            </w:r>
            <w:r>
              <w:rPr>
                <w:sz w:val="20"/>
                <w:szCs w:val="20"/>
                <w:lang w:val="sr-Latn-CS" w:eastAsia="en-GB"/>
              </w:rPr>
              <w:t xml:space="preserve"> </w:t>
            </w:r>
            <w:r>
              <w:rPr>
                <w:sz w:val="20"/>
                <w:szCs w:val="20"/>
                <w:lang w:val="sr-Cyrl-CS" w:eastAsia="en-GB"/>
              </w:rPr>
              <w:t>организација</w:t>
            </w:r>
            <w:r>
              <w:rPr>
                <w:sz w:val="20"/>
                <w:szCs w:val="20"/>
                <w:lang w:val="sr-Latn-CS" w:eastAsia="en-GB"/>
              </w:rPr>
              <w:t xml:space="preserve"> </w:t>
            </w:r>
            <w:r>
              <w:rPr>
                <w:sz w:val="20"/>
                <w:szCs w:val="20"/>
                <w:lang w:val="sr-Cyrl-CS" w:eastAsia="en-GB"/>
              </w:rPr>
              <w:t>интересних група.</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lastRenderedPageBreak/>
              <w:t>24.3.</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pStyle w:val="CM4"/>
              <w:jc w:val="both"/>
              <w:rPr>
                <w:rFonts w:ascii="Times New Roman" w:hAnsi="Times New Roman"/>
                <w:sz w:val="20"/>
                <w:szCs w:val="20"/>
                <w:lang w:val="sr-Cyrl-CS" w:eastAsia="en-GB"/>
              </w:rPr>
            </w:pPr>
            <w:r>
              <w:rPr>
                <w:rFonts w:ascii="Times New Roman" w:hAnsi="Times New Roman"/>
                <w:sz w:val="20"/>
                <w:szCs w:val="20"/>
                <w:lang w:eastAsia="en-GB"/>
              </w:rPr>
              <w:t xml:space="preserve">By 31 December 2015 and every five years thereafter, the Commission shall present a report to the European Parliament and to the Council on the implementation of this Regulation. This report shall contain an analysis of the annual reports referred to in paragraphs 1 and 2, an evaluation of the relevance of the standardisation activities receiving Union financing in the light of the requirements of Union legislation and policies as well as an assessment of potential new measures to simplify the financing of European standardisation and to reduce the administrative burden for the European </w:t>
            </w:r>
          </w:p>
          <w:p w:rsidR="0017553A" w:rsidRDefault="0017553A">
            <w:pPr>
              <w:rPr>
                <w:rFonts w:ascii="Times New Roman" w:hAnsi="Times New Roman"/>
                <w:sz w:val="20"/>
                <w:szCs w:val="20"/>
                <w:lang w:val="sr-Cyrl-CS"/>
              </w:rPr>
            </w:pPr>
            <w:r>
              <w:rPr>
                <w:sz w:val="20"/>
                <w:szCs w:val="20"/>
                <w:lang w:eastAsia="en-GB"/>
              </w:rPr>
              <w:t>standardisation organisations.</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rPr>
                <w:b/>
                <w:sz w:val="20"/>
                <w:szCs w:val="20"/>
                <w:lang w:val="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Образложење  оцене:  Одредба 24.3. Уредбе није пренета Законом, јер прописује обавезе Европске комисије.</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25.</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rPr>
            </w:pPr>
            <w:r>
              <w:rPr>
                <w:sz w:val="20"/>
                <w:szCs w:val="20"/>
                <w:lang w:eastAsia="en-GB"/>
              </w:rPr>
              <w:t xml:space="preserve">By 2 January 2015, the Commission shall evaluate the impact of the procedure established by Article 10 of this Regulation on the timeframe for issuing standardisation requests. The Commission shall present its conclusions in a report to the European Parliament and to the Council. Where appropriate, that report shall be accompanied by a legislative proposal to amend this Regulation. </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Образложење  оцене:  Одредба 25. Уредбе није пренета Законом, јер прописује обавезе Европске комисије.</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26.1.</w:t>
            </w:r>
          </w:p>
        </w:tc>
        <w:tc>
          <w:tcPr>
            <w:tcW w:w="4583" w:type="dxa"/>
            <w:gridSpan w:val="2"/>
            <w:tcBorders>
              <w:top w:val="single" w:sz="4" w:space="0" w:color="000000"/>
              <w:left w:val="single" w:sz="4" w:space="0" w:color="000000"/>
              <w:bottom w:val="single" w:sz="4" w:space="0" w:color="000000"/>
              <w:right w:val="single" w:sz="4" w:space="0" w:color="000000"/>
            </w:tcBorders>
          </w:tcPr>
          <w:p w:rsidR="0017553A" w:rsidRDefault="0017553A">
            <w:pPr>
              <w:pStyle w:val="CM4"/>
              <w:jc w:val="both"/>
              <w:rPr>
                <w:rFonts w:ascii="Times New Roman" w:hAnsi="Times New Roman"/>
                <w:sz w:val="20"/>
                <w:szCs w:val="20"/>
                <w:lang w:eastAsia="en-GB"/>
              </w:rPr>
            </w:pPr>
            <w:r>
              <w:rPr>
                <w:rFonts w:ascii="Times New Roman" w:hAnsi="Times New Roman"/>
                <w:sz w:val="20"/>
                <w:szCs w:val="20"/>
                <w:lang w:eastAsia="en-GB"/>
              </w:rPr>
              <w:t xml:space="preserve">1. The following provisions are deleted: </w:t>
            </w:r>
          </w:p>
          <w:p w:rsidR="0017553A" w:rsidRDefault="0017553A">
            <w:pPr>
              <w:pStyle w:val="CM4"/>
              <w:jc w:val="both"/>
              <w:rPr>
                <w:rFonts w:ascii="Times New Roman" w:hAnsi="Times New Roman"/>
                <w:sz w:val="20"/>
                <w:szCs w:val="20"/>
                <w:lang w:eastAsia="en-GB"/>
              </w:rPr>
            </w:pPr>
            <w:r>
              <w:rPr>
                <w:rFonts w:ascii="Times New Roman" w:hAnsi="Times New Roman"/>
                <w:sz w:val="20"/>
                <w:szCs w:val="20"/>
                <w:lang w:eastAsia="en-GB"/>
              </w:rPr>
              <w:t xml:space="preserve">(a) Article 6(1) of Directive 89/686/EEC; </w:t>
            </w:r>
          </w:p>
          <w:p w:rsidR="0017553A" w:rsidRDefault="0017553A">
            <w:pPr>
              <w:pStyle w:val="CM4"/>
              <w:jc w:val="both"/>
              <w:rPr>
                <w:rFonts w:ascii="Times New Roman" w:hAnsi="Times New Roman"/>
                <w:sz w:val="20"/>
                <w:szCs w:val="20"/>
                <w:lang w:eastAsia="en-GB"/>
              </w:rPr>
            </w:pPr>
            <w:r>
              <w:rPr>
                <w:rFonts w:ascii="Times New Roman" w:hAnsi="Times New Roman"/>
                <w:sz w:val="20"/>
                <w:szCs w:val="20"/>
                <w:lang w:eastAsia="en-GB"/>
              </w:rPr>
              <w:t xml:space="preserve">(b) Article 5 of Directive 93/15/EEC; </w:t>
            </w:r>
          </w:p>
          <w:p w:rsidR="0017553A" w:rsidRDefault="0017553A">
            <w:pPr>
              <w:pStyle w:val="CM4"/>
              <w:jc w:val="both"/>
              <w:rPr>
                <w:rFonts w:ascii="Times New Roman" w:hAnsi="Times New Roman"/>
                <w:sz w:val="20"/>
                <w:szCs w:val="20"/>
                <w:lang w:eastAsia="en-GB"/>
              </w:rPr>
            </w:pPr>
            <w:r>
              <w:rPr>
                <w:rFonts w:ascii="Times New Roman" w:hAnsi="Times New Roman"/>
                <w:sz w:val="20"/>
                <w:szCs w:val="20"/>
                <w:lang w:eastAsia="en-GB"/>
              </w:rPr>
              <w:t xml:space="preserve">(c) Article 6(1) of Directive 94/9/EC; </w:t>
            </w:r>
          </w:p>
          <w:p w:rsidR="0017553A" w:rsidRDefault="0017553A">
            <w:pPr>
              <w:pStyle w:val="CM4"/>
              <w:jc w:val="both"/>
              <w:rPr>
                <w:rFonts w:ascii="Times New Roman" w:hAnsi="Times New Roman"/>
                <w:sz w:val="20"/>
                <w:szCs w:val="20"/>
                <w:lang w:eastAsia="en-GB"/>
              </w:rPr>
            </w:pPr>
            <w:r>
              <w:rPr>
                <w:rFonts w:ascii="Times New Roman" w:hAnsi="Times New Roman"/>
                <w:sz w:val="20"/>
                <w:szCs w:val="20"/>
                <w:lang w:eastAsia="en-GB"/>
              </w:rPr>
              <w:t xml:space="preserve">(d) Article 6(1) of Directive 94/25/EC; </w:t>
            </w:r>
          </w:p>
          <w:p w:rsidR="0017553A" w:rsidRDefault="0017553A">
            <w:pPr>
              <w:pStyle w:val="CM4"/>
              <w:jc w:val="both"/>
              <w:rPr>
                <w:rFonts w:ascii="Times New Roman" w:hAnsi="Times New Roman"/>
                <w:sz w:val="20"/>
                <w:szCs w:val="20"/>
                <w:lang w:eastAsia="en-GB"/>
              </w:rPr>
            </w:pPr>
            <w:r>
              <w:rPr>
                <w:rFonts w:ascii="Times New Roman" w:hAnsi="Times New Roman"/>
                <w:sz w:val="20"/>
                <w:szCs w:val="20"/>
                <w:lang w:eastAsia="en-GB"/>
              </w:rPr>
              <w:t xml:space="preserve">(e) Article 6(1) of Directive 95/16/EC; </w:t>
            </w:r>
          </w:p>
          <w:p w:rsidR="0017553A" w:rsidRDefault="0017553A">
            <w:pPr>
              <w:pStyle w:val="CM4"/>
              <w:jc w:val="both"/>
              <w:rPr>
                <w:rFonts w:ascii="Times New Roman" w:hAnsi="Times New Roman"/>
                <w:sz w:val="20"/>
                <w:szCs w:val="20"/>
                <w:lang w:eastAsia="en-GB"/>
              </w:rPr>
            </w:pPr>
            <w:r>
              <w:rPr>
                <w:rFonts w:ascii="Times New Roman" w:hAnsi="Times New Roman"/>
                <w:sz w:val="20"/>
                <w:szCs w:val="20"/>
                <w:lang w:eastAsia="en-GB"/>
              </w:rPr>
              <w:t>(f) Article 6 of Directive 97/23/EC;EN L 316/26 Official Journal of the European Union 14.11.2012</w:t>
            </w:r>
          </w:p>
          <w:p w:rsidR="0017553A" w:rsidRDefault="0017553A">
            <w:pPr>
              <w:pStyle w:val="CM4"/>
              <w:jc w:val="both"/>
              <w:rPr>
                <w:rFonts w:ascii="Times New Roman" w:hAnsi="Times New Roman"/>
                <w:sz w:val="20"/>
                <w:szCs w:val="20"/>
                <w:lang w:eastAsia="en-GB"/>
              </w:rPr>
            </w:pPr>
            <w:r>
              <w:rPr>
                <w:rFonts w:ascii="Times New Roman" w:hAnsi="Times New Roman"/>
                <w:sz w:val="20"/>
                <w:szCs w:val="20"/>
                <w:lang w:eastAsia="en-GB"/>
              </w:rPr>
              <w:lastRenderedPageBreak/>
              <w:t xml:space="preserve">(g) Article 14 of Directive 2004/22/EC; </w:t>
            </w:r>
          </w:p>
          <w:p w:rsidR="0017553A" w:rsidRDefault="0017553A">
            <w:pPr>
              <w:pStyle w:val="CM4"/>
              <w:jc w:val="both"/>
              <w:rPr>
                <w:rFonts w:ascii="Times New Roman" w:hAnsi="Times New Roman"/>
                <w:sz w:val="20"/>
                <w:szCs w:val="20"/>
                <w:lang w:eastAsia="en-GB"/>
              </w:rPr>
            </w:pPr>
            <w:r>
              <w:rPr>
                <w:rFonts w:ascii="Times New Roman" w:hAnsi="Times New Roman"/>
                <w:sz w:val="20"/>
                <w:szCs w:val="20"/>
                <w:lang w:eastAsia="en-GB"/>
              </w:rPr>
              <w:t xml:space="preserve">(h) Article 8(4) of Directive 2007/23/EC; </w:t>
            </w:r>
          </w:p>
          <w:p w:rsidR="0017553A" w:rsidRDefault="0017553A">
            <w:pPr>
              <w:pStyle w:val="CM4"/>
              <w:jc w:val="both"/>
              <w:rPr>
                <w:rFonts w:ascii="Times New Roman" w:hAnsi="Times New Roman"/>
                <w:sz w:val="20"/>
                <w:szCs w:val="20"/>
                <w:lang w:eastAsia="en-GB"/>
              </w:rPr>
            </w:pPr>
            <w:r>
              <w:rPr>
                <w:rFonts w:ascii="Times New Roman" w:hAnsi="Times New Roman"/>
                <w:sz w:val="20"/>
                <w:szCs w:val="20"/>
                <w:lang w:eastAsia="en-GB"/>
              </w:rPr>
              <w:t xml:space="preserve">(i) Article 7 of Directive 2009/23/EC; (j) Article 6 of Directive 2009/105/EC. </w:t>
            </w:r>
          </w:p>
          <w:p w:rsidR="0017553A" w:rsidRDefault="0017553A">
            <w:pPr>
              <w:pStyle w:val="CM4"/>
              <w:jc w:val="both"/>
              <w:rPr>
                <w:rFonts w:ascii="Times New Roman" w:hAnsi="Times New Roman"/>
                <w:sz w:val="20"/>
                <w:szCs w:val="20"/>
                <w:lang w:eastAsia="en-GB"/>
              </w:rPr>
            </w:pPr>
          </w:p>
          <w:p w:rsidR="0017553A" w:rsidRDefault="0017553A">
            <w:pPr>
              <w:spacing w:after="0"/>
              <w:rPr>
                <w:rFonts w:ascii="Times New Roman" w:hAnsi="Times New Roman"/>
                <w:sz w:val="20"/>
                <w:szCs w:val="20"/>
                <w:lang w:val="sr-Cyrl-CS"/>
              </w:rPr>
            </w:pPr>
            <w:r>
              <w:rPr>
                <w:sz w:val="20"/>
                <w:szCs w:val="20"/>
                <w:lang w:eastAsia="en-GB"/>
              </w:rPr>
              <w:t xml:space="preserve">References to those deleted provisions shall be construed as references to Article 11 of this Regulation. </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rPr>
                <w:b/>
                <w:sz w:val="20"/>
                <w:szCs w:val="20"/>
                <w:lang w:val="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Образложење оцене:  Одредба 26.1. Уредбе није пренета Законом, јер се односи на брисање појединих одредби одређених директива.</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lastRenderedPageBreak/>
              <w:t>26.2.</w:t>
            </w:r>
          </w:p>
        </w:tc>
        <w:tc>
          <w:tcPr>
            <w:tcW w:w="4583" w:type="dxa"/>
            <w:gridSpan w:val="2"/>
            <w:tcBorders>
              <w:top w:val="single" w:sz="4" w:space="0" w:color="000000"/>
              <w:left w:val="single" w:sz="4" w:space="0" w:color="000000"/>
              <w:bottom w:val="single" w:sz="4" w:space="0" w:color="000000"/>
              <w:right w:val="single" w:sz="4" w:space="0" w:color="000000"/>
            </w:tcBorders>
          </w:tcPr>
          <w:p w:rsidR="0017553A" w:rsidRDefault="0017553A">
            <w:pPr>
              <w:pStyle w:val="CM4"/>
              <w:jc w:val="both"/>
              <w:rPr>
                <w:rFonts w:ascii="Times New Roman" w:hAnsi="Times New Roman"/>
                <w:sz w:val="20"/>
                <w:szCs w:val="20"/>
                <w:lang w:eastAsia="en-GB"/>
              </w:rPr>
            </w:pPr>
            <w:r>
              <w:rPr>
                <w:rFonts w:ascii="Times New Roman" w:hAnsi="Times New Roman"/>
                <w:sz w:val="20"/>
                <w:szCs w:val="20"/>
                <w:lang w:eastAsia="en-GB"/>
              </w:rPr>
              <w:t xml:space="preserve">Directive 98/34/EC is hereby amended as follows: </w:t>
            </w:r>
          </w:p>
          <w:p w:rsidR="0017553A" w:rsidRDefault="0017553A">
            <w:pPr>
              <w:pStyle w:val="CM4"/>
              <w:jc w:val="both"/>
              <w:rPr>
                <w:rFonts w:ascii="Times New Roman" w:hAnsi="Times New Roman"/>
                <w:sz w:val="20"/>
                <w:szCs w:val="20"/>
                <w:lang w:eastAsia="en-GB"/>
              </w:rPr>
            </w:pPr>
            <w:r>
              <w:rPr>
                <w:rFonts w:ascii="Times New Roman" w:hAnsi="Times New Roman"/>
                <w:sz w:val="20"/>
                <w:szCs w:val="20"/>
                <w:lang w:eastAsia="en-GB"/>
              </w:rPr>
              <w:t xml:space="preserve">(a) in Article 1, paragraphs 6 to 10 are deleted; </w:t>
            </w:r>
          </w:p>
          <w:p w:rsidR="0017553A" w:rsidRDefault="0017553A">
            <w:pPr>
              <w:pStyle w:val="CM4"/>
              <w:jc w:val="both"/>
              <w:rPr>
                <w:rFonts w:ascii="Times New Roman" w:hAnsi="Times New Roman"/>
                <w:sz w:val="20"/>
                <w:szCs w:val="20"/>
                <w:lang w:eastAsia="en-GB"/>
              </w:rPr>
            </w:pPr>
            <w:r>
              <w:rPr>
                <w:rFonts w:ascii="Times New Roman" w:hAnsi="Times New Roman"/>
                <w:sz w:val="20"/>
                <w:szCs w:val="20"/>
                <w:lang w:eastAsia="en-GB"/>
              </w:rPr>
              <w:t xml:space="preserve">(b) Articles 2, 3 and 4 are deleted; </w:t>
            </w:r>
          </w:p>
          <w:p w:rsidR="0017553A" w:rsidRDefault="0017553A">
            <w:pPr>
              <w:pStyle w:val="CM4"/>
              <w:jc w:val="both"/>
              <w:rPr>
                <w:rFonts w:ascii="Times New Roman" w:hAnsi="Times New Roman"/>
                <w:sz w:val="20"/>
                <w:szCs w:val="20"/>
                <w:lang w:eastAsia="en-GB"/>
              </w:rPr>
            </w:pPr>
            <w:r>
              <w:rPr>
                <w:rFonts w:ascii="Times New Roman" w:hAnsi="Times New Roman"/>
                <w:sz w:val="20"/>
                <w:szCs w:val="20"/>
                <w:lang w:eastAsia="en-GB"/>
              </w:rPr>
              <w:t xml:space="preserve">(c) in Article 6(1), the words ‘with the representatives of the standards institutions referred to in Annexes I and II’ are deleted; </w:t>
            </w:r>
          </w:p>
          <w:p w:rsidR="0017553A" w:rsidRDefault="0017553A">
            <w:pPr>
              <w:pStyle w:val="CM4"/>
              <w:jc w:val="both"/>
              <w:rPr>
                <w:rFonts w:ascii="Times New Roman" w:hAnsi="Times New Roman"/>
                <w:sz w:val="20"/>
                <w:szCs w:val="20"/>
                <w:lang w:eastAsia="en-GB"/>
              </w:rPr>
            </w:pPr>
            <w:r>
              <w:rPr>
                <w:rFonts w:ascii="Times New Roman" w:hAnsi="Times New Roman"/>
                <w:sz w:val="20"/>
                <w:szCs w:val="20"/>
                <w:lang w:eastAsia="en-GB"/>
              </w:rPr>
              <w:t xml:space="preserve">(d) in Article 6(3), the first indent is deleted; </w:t>
            </w:r>
          </w:p>
          <w:p w:rsidR="0017553A" w:rsidRDefault="0017553A">
            <w:pPr>
              <w:pStyle w:val="CM4"/>
              <w:jc w:val="both"/>
              <w:rPr>
                <w:rFonts w:ascii="Times New Roman" w:hAnsi="Times New Roman"/>
                <w:sz w:val="20"/>
                <w:szCs w:val="20"/>
                <w:lang w:eastAsia="en-GB"/>
              </w:rPr>
            </w:pPr>
            <w:r>
              <w:rPr>
                <w:rFonts w:ascii="Times New Roman" w:hAnsi="Times New Roman"/>
                <w:sz w:val="20"/>
                <w:szCs w:val="20"/>
                <w:lang w:eastAsia="en-GB"/>
              </w:rPr>
              <w:t xml:space="preserve">(e) in Article 6(4), points (a), (b) and (e) are deleted; </w:t>
            </w:r>
          </w:p>
          <w:p w:rsidR="0017553A" w:rsidRDefault="0017553A">
            <w:pPr>
              <w:pStyle w:val="CM4"/>
              <w:jc w:val="both"/>
              <w:rPr>
                <w:rFonts w:ascii="Times New Roman" w:hAnsi="Times New Roman"/>
                <w:sz w:val="20"/>
                <w:szCs w:val="20"/>
                <w:lang w:eastAsia="en-GB"/>
              </w:rPr>
            </w:pPr>
            <w:r>
              <w:rPr>
                <w:rFonts w:ascii="Times New Roman" w:hAnsi="Times New Roman"/>
                <w:sz w:val="20"/>
                <w:szCs w:val="20"/>
                <w:lang w:eastAsia="en-GB"/>
              </w:rPr>
              <w:t xml:space="preserve">(f) Article 7 is replaced by the following: </w:t>
            </w:r>
            <w:r>
              <w:rPr>
                <w:rFonts w:ascii="Times New Roman" w:hAnsi="Times New Roman"/>
                <w:i/>
                <w:iCs/>
                <w:sz w:val="20"/>
                <w:szCs w:val="20"/>
                <w:lang w:eastAsia="en-GB"/>
              </w:rPr>
              <w:t xml:space="preserve">‘Article 7 </w:t>
            </w:r>
          </w:p>
          <w:p w:rsidR="0017553A" w:rsidRDefault="0017553A">
            <w:pPr>
              <w:pStyle w:val="CM4"/>
              <w:jc w:val="both"/>
              <w:rPr>
                <w:rFonts w:ascii="Times New Roman" w:hAnsi="Times New Roman"/>
                <w:sz w:val="20"/>
                <w:szCs w:val="20"/>
                <w:lang w:eastAsia="en-GB"/>
              </w:rPr>
            </w:pPr>
            <w:r>
              <w:rPr>
                <w:rFonts w:ascii="Times New Roman" w:hAnsi="Times New Roman"/>
                <w:sz w:val="20"/>
                <w:szCs w:val="20"/>
                <w:lang w:eastAsia="en-GB"/>
              </w:rPr>
              <w:t xml:space="preserve">Member States shall communicate to the Commission, in accordance with Article 8(1), all requests made to standards institutions to draw up technical specifications or a standard for specific products for the purpose of enacting a technical regulation for such products as draft technical regulations, and shall state the grounds for their enactment.’; </w:t>
            </w:r>
          </w:p>
          <w:p w:rsidR="0017553A" w:rsidRDefault="0017553A">
            <w:pPr>
              <w:pStyle w:val="CM4"/>
              <w:jc w:val="both"/>
              <w:rPr>
                <w:rFonts w:ascii="Times New Roman" w:hAnsi="Times New Roman"/>
                <w:sz w:val="20"/>
                <w:szCs w:val="20"/>
                <w:lang w:eastAsia="en-GB"/>
              </w:rPr>
            </w:pPr>
            <w:r>
              <w:rPr>
                <w:rFonts w:ascii="Times New Roman" w:hAnsi="Times New Roman"/>
                <w:sz w:val="20"/>
                <w:szCs w:val="20"/>
                <w:lang w:eastAsia="en-GB"/>
              </w:rPr>
              <w:t xml:space="preserve">(g) in Article 11, the second sentence is replaced by the following sentence: </w:t>
            </w:r>
          </w:p>
          <w:p w:rsidR="0017553A" w:rsidRDefault="0017553A">
            <w:pPr>
              <w:pStyle w:val="CM4"/>
              <w:jc w:val="both"/>
              <w:rPr>
                <w:rFonts w:ascii="Times New Roman" w:hAnsi="Times New Roman"/>
                <w:sz w:val="20"/>
                <w:szCs w:val="20"/>
                <w:lang w:eastAsia="en-GB"/>
              </w:rPr>
            </w:pPr>
            <w:r>
              <w:rPr>
                <w:rFonts w:ascii="Times New Roman" w:hAnsi="Times New Roman"/>
                <w:sz w:val="20"/>
                <w:szCs w:val="20"/>
                <w:lang w:eastAsia="en-GB"/>
              </w:rPr>
              <w:t xml:space="preserve">‘The Commission shall publish annual statistics on the notifications received in the </w:t>
            </w:r>
            <w:r>
              <w:rPr>
                <w:rFonts w:ascii="Times New Roman" w:hAnsi="Times New Roman"/>
                <w:i/>
                <w:iCs/>
                <w:sz w:val="20"/>
                <w:szCs w:val="20"/>
                <w:lang w:eastAsia="en-GB"/>
              </w:rPr>
              <w:t>Official Journal of the European Union</w:t>
            </w:r>
            <w:r>
              <w:rPr>
                <w:rFonts w:ascii="Times New Roman" w:hAnsi="Times New Roman"/>
                <w:sz w:val="20"/>
                <w:szCs w:val="20"/>
                <w:lang w:eastAsia="en-GB"/>
              </w:rPr>
              <w:t xml:space="preserve">.’; </w:t>
            </w:r>
          </w:p>
          <w:p w:rsidR="0017553A" w:rsidRDefault="0017553A">
            <w:pPr>
              <w:pStyle w:val="CM4"/>
              <w:tabs>
                <w:tab w:val="center" w:pos="4513"/>
              </w:tabs>
              <w:jc w:val="both"/>
              <w:rPr>
                <w:rFonts w:ascii="Times New Roman" w:hAnsi="Times New Roman"/>
                <w:sz w:val="20"/>
                <w:szCs w:val="20"/>
                <w:lang w:eastAsia="en-GB"/>
              </w:rPr>
            </w:pPr>
            <w:r>
              <w:rPr>
                <w:rFonts w:ascii="Times New Roman" w:hAnsi="Times New Roman"/>
                <w:sz w:val="20"/>
                <w:szCs w:val="20"/>
                <w:lang w:eastAsia="en-GB"/>
              </w:rPr>
              <w:t xml:space="preserve">(h) Annexes I and II are deleted. </w:t>
            </w:r>
            <w:r>
              <w:rPr>
                <w:rFonts w:ascii="Times New Roman" w:hAnsi="Times New Roman"/>
                <w:sz w:val="20"/>
                <w:szCs w:val="20"/>
                <w:lang w:eastAsia="en-GB"/>
              </w:rPr>
              <w:tab/>
            </w:r>
          </w:p>
          <w:p w:rsidR="0017553A" w:rsidRDefault="0017553A">
            <w:pPr>
              <w:pStyle w:val="CM4"/>
              <w:jc w:val="both"/>
              <w:rPr>
                <w:rFonts w:ascii="Times New Roman" w:hAnsi="Times New Roman"/>
                <w:sz w:val="20"/>
                <w:szCs w:val="20"/>
                <w:lang w:eastAsia="en-GB"/>
              </w:rPr>
            </w:pPr>
          </w:p>
          <w:p w:rsidR="0017553A" w:rsidRDefault="0017553A">
            <w:pPr>
              <w:spacing w:after="0"/>
              <w:rPr>
                <w:rFonts w:ascii="Times New Roman" w:hAnsi="Times New Roman"/>
                <w:sz w:val="20"/>
                <w:szCs w:val="20"/>
                <w:lang w:val="sr-Cyrl-CS"/>
              </w:rPr>
            </w:pPr>
            <w:r>
              <w:rPr>
                <w:sz w:val="20"/>
                <w:szCs w:val="20"/>
                <w:lang w:eastAsia="en-GB"/>
              </w:rPr>
              <w:t xml:space="preserve">References to those deleted provisions shall be construed as references to this Regulation and shall </w:t>
            </w:r>
            <w:r>
              <w:rPr>
                <w:sz w:val="20"/>
                <w:szCs w:val="20"/>
                <w:lang w:eastAsia="en-GB"/>
              </w:rPr>
              <w:lastRenderedPageBreak/>
              <w:t>be read in accordance with the correlation table set out in Annex IV to this Regulation.</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rPr>
                <w:b/>
                <w:sz w:val="20"/>
                <w:szCs w:val="20"/>
                <w:lang w:val="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Образложење  оцене:  Одредба 26.2. Уредбе није пренета Законом, јер се односи на измене и допуне Директиве 98/34/Е</w:t>
            </w:r>
            <w:r>
              <w:rPr>
                <w:sz w:val="20"/>
                <w:szCs w:val="20"/>
              </w:rPr>
              <w:t>C</w:t>
            </w:r>
            <w:r>
              <w:rPr>
                <w:sz w:val="20"/>
                <w:szCs w:val="20"/>
                <w:lang w:val="sr-Cyrl-CS"/>
              </w:rPr>
              <w:t>.</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lastRenderedPageBreak/>
              <w:t>27.1.</w:t>
            </w:r>
          </w:p>
        </w:tc>
        <w:tc>
          <w:tcPr>
            <w:tcW w:w="4583" w:type="dxa"/>
            <w:gridSpan w:val="2"/>
            <w:tcBorders>
              <w:top w:val="single" w:sz="4" w:space="0" w:color="000000"/>
              <w:left w:val="single" w:sz="4" w:space="0" w:color="000000"/>
              <w:bottom w:val="single" w:sz="4" w:space="0" w:color="000000"/>
              <w:right w:val="single" w:sz="4" w:space="0" w:color="000000"/>
            </w:tcBorders>
          </w:tcPr>
          <w:p w:rsidR="0017553A" w:rsidRDefault="0017553A">
            <w:pPr>
              <w:pStyle w:val="CM4"/>
              <w:jc w:val="both"/>
              <w:rPr>
                <w:rFonts w:ascii="Times New Roman" w:hAnsi="Times New Roman"/>
                <w:sz w:val="20"/>
                <w:szCs w:val="20"/>
                <w:lang w:eastAsia="en-GB"/>
              </w:rPr>
            </w:pPr>
            <w:r>
              <w:rPr>
                <w:rFonts w:ascii="Times New Roman" w:hAnsi="Times New Roman"/>
                <w:sz w:val="20"/>
                <w:szCs w:val="20"/>
                <w:lang w:eastAsia="en-GB"/>
              </w:rPr>
              <w:t xml:space="preserve">Member States shall inform the Commission of their standardisation bodies. </w:t>
            </w:r>
          </w:p>
          <w:p w:rsidR="0017553A" w:rsidRDefault="0017553A">
            <w:pPr>
              <w:spacing w:after="0"/>
              <w:rPr>
                <w:rFonts w:ascii="Times New Roman" w:hAnsi="Times New Roman"/>
                <w:sz w:val="20"/>
                <w:szCs w:val="20"/>
                <w:lang w:val="sr-Cyrl-CS" w:eastAsia="en-GB"/>
              </w:rPr>
            </w:pP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rPr>
                <w:b/>
                <w:sz w:val="20"/>
                <w:szCs w:val="20"/>
                <w:lang w:val="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eastAsia="en-GB"/>
              </w:rPr>
            </w:pPr>
            <w:r>
              <w:rPr>
                <w:sz w:val="20"/>
                <w:szCs w:val="20"/>
                <w:lang w:val="sr-Cyrl-CS" w:eastAsia="en-GB"/>
              </w:rPr>
              <w:t xml:space="preserve">Образложење </w:t>
            </w:r>
            <w:r>
              <w:rPr>
                <w:sz w:val="20"/>
                <w:szCs w:val="20"/>
                <w:lang w:eastAsia="en-GB"/>
              </w:rPr>
              <w:t>o</w:t>
            </w:r>
            <w:r>
              <w:rPr>
                <w:sz w:val="20"/>
                <w:szCs w:val="20"/>
                <w:lang w:val="sr-Cyrl-CS" w:eastAsia="en-GB"/>
              </w:rPr>
              <w:t>цене:</w:t>
            </w:r>
          </w:p>
          <w:p w:rsidR="0017553A" w:rsidRDefault="0017553A">
            <w:pPr>
              <w:spacing w:after="0"/>
              <w:rPr>
                <w:sz w:val="20"/>
                <w:szCs w:val="20"/>
                <w:lang w:val="sr-Cyrl-CS" w:eastAsia="en-GB"/>
              </w:rPr>
            </w:pPr>
            <w:r>
              <w:rPr>
                <w:sz w:val="20"/>
                <w:szCs w:val="20"/>
                <w:lang w:val="sr-Cyrl-CS" w:eastAsia="en-GB"/>
              </w:rPr>
              <w:t>Одредба 27.1.</w:t>
            </w:r>
            <w:r>
              <w:rPr>
                <w:b/>
                <w:sz w:val="20"/>
                <w:szCs w:val="20"/>
                <w:lang w:val="sr-Cyrl-CS" w:eastAsia="en-GB"/>
              </w:rPr>
              <w:t xml:space="preserve"> </w:t>
            </w:r>
            <w:r>
              <w:rPr>
                <w:sz w:val="20"/>
                <w:szCs w:val="20"/>
                <w:lang w:val="sr-Cyrl-CS" w:eastAsia="en-GB"/>
              </w:rPr>
              <w:t>Уредбе није пренета Законом,  јер Република Србија није чланица ЕУ.</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eastAsia="en-GB"/>
              </w:rPr>
            </w:pPr>
            <w:r>
              <w:rPr>
                <w:b/>
                <w:sz w:val="20"/>
                <w:szCs w:val="20"/>
                <w:lang w:eastAsia="en-GB"/>
              </w:rPr>
              <w:t>27.2.</w:t>
            </w:r>
          </w:p>
        </w:tc>
        <w:tc>
          <w:tcPr>
            <w:tcW w:w="4583" w:type="dxa"/>
            <w:gridSpan w:val="2"/>
            <w:tcBorders>
              <w:top w:val="single" w:sz="4" w:space="0" w:color="000000"/>
              <w:left w:val="single" w:sz="4" w:space="0" w:color="000000"/>
              <w:bottom w:val="single" w:sz="4" w:space="0" w:color="000000"/>
              <w:right w:val="single" w:sz="4" w:space="0" w:color="000000"/>
            </w:tcBorders>
          </w:tcPr>
          <w:p w:rsidR="0017553A" w:rsidRDefault="0017553A">
            <w:pPr>
              <w:pStyle w:val="CM4"/>
              <w:jc w:val="both"/>
              <w:rPr>
                <w:rFonts w:ascii="Times New Roman" w:hAnsi="Times New Roman"/>
                <w:sz w:val="20"/>
                <w:szCs w:val="20"/>
                <w:lang w:eastAsia="en-GB"/>
              </w:rPr>
            </w:pPr>
            <w:r>
              <w:rPr>
                <w:rFonts w:ascii="Times New Roman" w:hAnsi="Times New Roman"/>
                <w:sz w:val="20"/>
                <w:szCs w:val="20"/>
                <w:lang w:eastAsia="en-GB"/>
              </w:rPr>
              <w:t xml:space="preserve">The Commission shall publish a list of national standardisation bodies and any updates to that list in the </w:t>
            </w:r>
            <w:r>
              <w:rPr>
                <w:rFonts w:ascii="Times New Roman" w:hAnsi="Times New Roman"/>
                <w:i/>
                <w:iCs/>
                <w:sz w:val="20"/>
                <w:szCs w:val="20"/>
                <w:lang w:eastAsia="en-GB"/>
              </w:rPr>
              <w:t>Official Journal of the European Union</w:t>
            </w:r>
            <w:r>
              <w:rPr>
                <w:rFonts w:ascii="Times New Roman" w:hAnsi="Times New Roman"/>
                <w:sz w:val="20"/>
                <w:szCs w:val="20"/>
                <w:lang w:eastAsia="en-GB"/>
              </w:rPr>
              <w:t>.</w:t>
            </w:r>
          </w:p>
          <w:p w:rsidR="0017553A" w:rsidRDefault="0017553A">
            <w:pPr>
              <w:rPr>
                <w:rFonts w:ascii="Times New Roman" w:hAnsi="Times New Roman"/>
                <w:sz w:val="20"/>
                <w:szCs w:val="20"/>
                <w:lang w:val="sr-Cyrl-CS"/>
              </w:rPr>
            </w:pP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rPr>
                <w:b/>
                <w:sz w:val="20"/>
                <w:szCs w:val="20"/>
                <w:lang w:val="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Образложење оцене:  Одредба 27.</w:t>
            </w:r>
            <w:r>
              <w:rPr>
                <w:sz w:val="20"/>
                <w:szCs w:val="20"/>
                <w:lang w:val="sr-Latn-CS" w:eastAsia="en-GB"/>
              </w:rPr>
              <w:t>2.</w:t>
            </w:r>
            <w:r>
              <w:rPr>
                <w:sz w:val="20"/>
                <w:szCs w:val="20"/>
                <w:lang w:val="sr-Latn-RS" w:eastAsia="en-GB"/>
              </w:rPr>
              <w:t xml:space="preserve"> </w:t>
            </w:r>
            <w:r>
              <w:rPr>
                <w:sz w:val="20"/>
                <w:szCs w:val="20"/>
                <w:lang w:val="sr-Cyrl-CS" w:eastAsia="en-GB"/>
              </w:rPr>
              <w:t>Уредбе није пренета Законом, јер прописује обавезе Европске комисије.</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eastAsia="en-GB"/>
              </w:rPr>
            </w:pPr>
            <w:r>
              <w:rPr>
                <w:b/>
                <w:sz w:val="20"/>
                <w:szCs w:val="20"/>
                <w:lang w:eastAsia="en-GB"/>
              </w:rPr>
              <w:t>28.1.</w:t>
            </w:r>
          </w:p>
          <w:p w:rsidR="0017553A" w:rsidRDefault="0017553A">
            <w:pPr>
              <w:spacing w:after="0"/>
              <w:rPr>
                <w:b/>
                <w:sz w:val="20"/>
                <w:szCs w:val="20"/>
                <w:lang w:eastAsia="en-GB"/>
              </w:rPr>
            </w:pPr>
          </w:p>
          <w:p w:rsidR="0017553A" w:rsidRDefault="0017553A">
            <w:pPr>
              <w:spacing w:after="0"/>
              <w:rPr>
                <w:b/>
                <w:sz w:val="20"/>
                <w:szCs w:val="20"/>
                <w:lang w:eastAsia="en-GB"/>
              </w:rPr>
            </w:pP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rPr>
            </w:pPr>
            <w:r>
              <w:rPr>
                <w:sz w:val="20"/>
                <w:szCs w:val="20"/>
                <w:lang w:eastAsia="en-GB"/>
              </w:rPr>
              <w:t>In Union acts that provide for a presumption of conformity with essential requirements through the application of harmonised standards adopted in accordance with Directive 98/34/EC, references to Directive 98/34/EC shall be construed as references to this Regulation, except references to the committee set up by Article 5 of Directive 98/34/EC regarding technical regulations.</w:t>
            </w:r>
            <w:r>
              <w:rPr>
                <w:b/>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rPr>
                <w:b/>
                <w:sz w:val="20"/>
                <w:szCs w:val="20"/>
                <w:lang w:val="sr-Cyrl-CS" w:eastAsia="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Образложење оцене: Одредба 28.1</w:t>
            </w:r>
            <w:r>
              <w:rPr>
                <w:sz w:val="20"/>
                <w:szCs w:val="20"/>
                <w:lang w:val="sr-Latn-CS" w:eastAsia="en-GB"/>
              </w:rPr>
              <w:t>.</w:t>
            </w:r>
            <w:r>
              <w:rPr>
                <w:sz w:val="20"/>
                <w:szCs w:val="20"/>
                <w:lang w:val="sr-Latn-RS" w:eastAsia="en-GB"/>
              </w:rPr>
              <w:t xml:space="preserve"> </w:t>
            </w:r>
            <w:r>
              <w:rPr>
                <w:sz w:val="20"/>
                <w:szCs w:val="20"/>
                <w:lang w:val="sr-Cyrl-CS" w:eastAsia="en-GB"/>
              </w:rPr>
              <w:t>Уредбе није пренета Законом, јер се односи на на прелазне одредбе Уредбе 1025/2012 и везе са Директивом 98/34 /</w:t>
            </w:r>
            <w:r>
              <w:rPr>
                <w:sz w:val="20"/>
                <w:szCs w:val="20"/>
                <w:lang w:eastAsia="en-GB"/>
              </w:rPr>
              <w:t>EC</w:t>
            </w:r>
            <w:r>
              <w:rPr>
                <w:sz w:val="20"/>
                <w:szCs w:val="20"/>
                <w:lang w:val="sr-Cyrl-CS" w:eastAsia="en-GB"/>
              </w:rPr>
              <w:t>.</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eastAsia="en-GB"/>
              </w:rPr>
            </w:pPr>
            <w:r>
              <w:rPr>
                <w:b/>
                <w:sz w:val="20"/>
                <w:szCs w:val="20"/>
                <w:lang w:eastAsia="en-GB"/>
              </w:rPr>
              <w:t>28.2.</w:t>
            </w:r>
          </w:p>
          <w:p w:rsidR="0017553A" w:rsidRDefault="0017553A">
            <w:pPr>
              <w:spacing w:after="0"/>
              <w:rPr>
                <w:b/>
                <w:sz w:val="20"/>
                <w:szCs w:val="20"/>
                <w:lang w:eastAsia="en-GB"/>
              </w:rPr>
            </w:pPr>
          </w:p>
          <w:p w:rsidR="0017553A" w:rsidRDefault="0017553A">
            <w:pPr>
              <w:spacing w:after="0"/>
              <w:rPr>
                <w:b/>
                <w:sz w:val="20"/>
                <w:szCs w:val="20"/>
                <w:lang w:eastAsia="en-GB"/>
              </w:rPr>
            </w:pPr>
          </w:p>
          <w:p w:rsidR="0017553A" w:rsidRDefault="0017553A">
            <w:pPr>
              <w:spacing w:after="0"/>
              <w:rPr>
                <w:b/>
                <w:sz w:val="20"/>
                <w:szCs w:val="20"/>
                <w:lang w:eastAsia="en-GB"/>
              </w:rPr>
            </w:pPr>
          </w:p>
          <w:p w:rsidR="0017553A" w:rsidRDefault="0017553A">
            <w:pPr>
              <w:spacing w:after="0"/>
              <w:rPr>
                <w:b/>
                <w:sz w:val="20"/>
                <w:szCs w:val="20"/>
                <w:lang w:eastAsia="en-GB"/>
              </w:rPr>
            </w:pPr>
          </w:p>
          <w:p w:rsidR="0017553A" w:rsidRDefault="0017553A">
            <w:pPr>
              <w:spacing w:after="0"/>
              <w:rPr>
                <w:b/>
                <w:sz w:val="20"/>
                <w:szCs w:val="20"/>
                <w:lang w:val="sr-Cyrl-CS" w:eastAsia="en-GB"/>
              </w:rPr>
            </w:pPr>
          </w:p>
        </w:tc>
        <w:tc>
          <w:tcPr>
            <w:tcW w:w="4583" w:type="dxa"/>
            <w:gridSpan w:val="2"/>
            <w:tcBorders>
              <w:top w:val="single" w:sz="4" w:space="0" w:color="000000"/>
              <w:left w:val="single" w:sz="4" w:space="0" w:color="000000"/>
              <w:bottom w:val="single" w:sz="4" w:space="0" w:color="000000"/>
              <w:right w:val="single" w:sz="4" w:space="0" w:color="000000"/>
            </w:tcBorders>
          </w:tcPr>
          <w:p w:rsidR="0017553A" w:rsidRDefault="0017553A">
            <w:pPr>
              <w:pStyle w:val="CM4"/>
              <w:jc w:val="both"/>
              <w:rPr>
                <w:rFonts w:ascii="Times New Roman" w:hAnsi="Times New Roman"/>
                <w:sz w:val="20"/>
                <w:szCs w:val="20"/>
              </w:rPr>
            </w:pPr>
            <w:r>
              <w:rPr>
                <w:rFonts w:ascii="Times New Roman" w:hAnsi="Times New Roman"/>
                <w:sz w:val="20"/>
                <w:szCs w:val="20"/>
              </w:rPr>
              <w:t xml:space="preserve">Where a Union act provides for a procedure for objection to harmonised standards, Article 11 of this Regulation shall not apply to that act. </w:t>
            </w:r>
          </w:p>
          <w:p w:rsidR="0017553A" w:rsidRDefault="0017553A">
            <w:pPr>
              <w:rPr>
                <w:rFonts w:ascii="Times New Roman" w:hAnsi="Times New Roman"/>
                <w:sz w:val="20"/>
                <w:szCs w:val="20"/>
                <w:lang w:val="sr-Cyrl-CS"/>
              </w:rPr>
            </w:pP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rPr>
                <w:b/>
                <w:sz w:val="20"/>
                <w:szCs w:val="20"/>
                <w:lang w:val="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Образложење оцене: Одредба 28.2</w:t>
            </w:r>
            <w:r>
              <w:rPr>
                <w:sz w:val="20"/>
                <w:szCs w:val="20"/>
                <w:lang w:val="sr-Latn-CS" w:eastAsia="en-GB"/>
              </w:rPr>
              <w:t>.</w:t>
            </w:r>
            <w:r>
              <w:rPr>
                <w:sz w:val="20"/>
                <w:szCs w:val="20"/>
                <w:lang w:val="sr-Latn-RS" w:eastAsia="en-GB"/>
              </w:rPr>
              <w:t xml:space="preserve"> </w:t>
            </w:r>
            <w:r>
              <w:rPr>
                <w:sz w:val="20"/>
                <w:szCs w:val="20"/>
                <w:lang w:val="sr-Cyrl-CS" w:eastAsia="en-GB"/>
              </w:rPr>
              <w:t>Уредбе није пренета Законом јер се односи на акта Европске уније према хармонизованим стандардима.</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eastAsia="en-GB"/>
              </w:rPr>
            </w:pPr>
            <w:r>
              <w:rPr>
                <w:b/>
                <w:sz w:val="20"/>
                <w:szCs w:val="20"/>
                <w:lang w:eastAsia="en-GB"/>
              </w:rPr>
              <w:lastRenderedPageBreak/>
              <w:t>29.1.</w:t>
            </w:r>
          </w:p>
          <w:p w:rsidR="0017553A" w:rsidRDefault="0017553A">
            <w:pPr>
              <w:spacing w:after="0"/>
              <w:rPr>
                <w:b/>
                <w:sz w:val="20"/>
                <w:szCs w:val="20"/>
                <w:lang w:eastAsia="en-GB"/>
              </w:rPr>
            </w:pPr>
          </w:p>
        </w:tc>
        <w:tc>
          <w:tcPr>
            <w:tcW w:w="4583" w:type="dxa"/>
            <w:gridSpan w:val="2"/>
            <w:tcBorders>
              <w:top w:val="single" w:sz="4" w:space="0" w:color="000000"/>
              <w:left w:val="single" w:sz="4" w:space="0" w:color="000000"/>
              <w:bottom w:val="single" w:sz="4" w:space="0" w:color="000000"/>
              <w:right w:val="single" w:sz="4" w:space="0" w:color="000000"/>
            </w:tcBorders>
          </w:tcPr>
          <w:p w:rsidR="0017553A" w:rsidRDefault="0017553A">
            <w:pPr>
              <w:rPr>
                <w:sz w:val="20"/>
                <w:szCs w:val="20"/>
              </w:rPr>
            </w:pPr>
            <w:r>
              <w:rPr>
                <w:sz w:val="20"/>
                <w:szCs w:val="20"/>
                <w:lang w:eastAsia="en-GB"/>
              </w:rPr>
              <w:t xml:space="preserve">Decision No 1673/2006/EC and Decision 87/95/EEC are hereby repealed. </w:t>
            </w:r>
          </w:p>
          <w:p w:rsidR="0017553A" w:rsidRDefault="0017553A">
            <w:pPr>
              <w:rPr>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tcPr>
          <w:p w:rsidR="0017553A" w:rsidRDefault="0017553A">
            <w:pPr>
              <w:rPr>
                <w:b/>
                <w:sz w:val="20"/>
                <w:szCs w:val="20"/>
                <w:lang w:val="en-GB"/>
              </w:rPr>
            </w:pPr>
            <w:r>
              <w:rPr>
                <w:b/>
                <w:sz w:val="20"/>
                <w:szCs w:val="20"/>
                <w:lang w:val="sr-Cyrl-CS" w:eastAsia="en-GB"/>
              </w:rPr>
              <w:t>НП</w:t>
            </w:r>
          </w:p>
          <w:p w:rsidR="0017553A" w:rsidRDefault="0017553A">
            <w:pPr>
              <w:rPr>
                <w:b/>
                <w:sz w:val="20"/>
                <w:szCs w:val="20"/>
                <w:lang w:val="sr-Cyrl-CS" w:eastAsia="en-GB"/>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rPr>
            </w:pPr>
            <w:r>
              <w:rPr>
                <w:sz w:val="20"/>
                <w:szCs w:val="20"/>
                <w:lang w:val="sr-Cyrl-CS" w:eastAsia="en-GB"/>
              </w:rPr>
              <w:t>Образложење оцене: Одредба 29.1</w:t>
            </w:r>
            <w:r>
              <w:rPr>
                <w:sz w:val="20"/>
                <w:szCs w:val="20"/>
                <w:lang w:val="sr-Latn-CS" w:eastAsia="en-GB"/>
              </w:rPr>
              <w:t>.</w:t>
            </w:r>
            <w:r>
              <w:rPr>
                <w:sz w:val="20"/>
                <w:szCs w:val="20"/>
                <w:lang w:val="sr-Latn-RS" w:eastAsia="en-GB"/>
              </w:rPr>
              <w:t xml:space="preserve"> </w:t>
            </w:r>
            <w:r>
              <w:rPr>
                <w:sz w:val="20"/>
                <w:szCs w:val="20"/>
                <w:lang w:val="sr-Cyrl-CS" w:eastAsia="en-GB"/>
              </w:rPr>
              <w:t xml:space="preserve">Уредбе није пренета Законом,  јер се односи на повлачење Одлука  </w:t>
            </w:r>
            <w:r>
              <w:rPr>
                <w:sz w:val="20"/>
                <w:szCs w:val="20"/>
              </w:rPr>
              <w:t>бр. 1673/2006/EC и 87/95/EEC.</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Height w:val="1410"/>
        </w:trPr>
        <w:tc>
          <w:tcPr>
            <w:tcW w:w="1371"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sr-Cyrl-CS" w:eastAsia="en-GB"/>
              </w:rPr>
            </w:pPr>
            <w:r>
              <w:rPr>
                <w:b/>
                <w:sz w:val="20"/>
                <w:szCs w:val="20"/>
                <w:lang w:eastAsia="en-GB"/>
              </w:rPr>
              <w:t>29.2.</w:t>
            </w: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rPr>
            </w:pPr>
            <w:r>
              <w:rPr>
                <w:sz w:val="20"/>
                <w:szCs w:val="20"/>
                <w:lang w:eastAsia="en-GB"/>
              </w:rPr>
              <w:t>References to the repealed Decisions shall be construed as references to this Regulation and shall be read in accordance with the correlation table set out in Annex IV to this Regulation.</w:t>
            </w:r>
            <w:r>
              <w:rPr>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tcPr>
          <w:p w:rsidR="0017553A" w:rsidRDefault="0017553A">
            <w:pPr>
              <w:rPr>
                <w:b/>
                <w:sz w:val="20"/>
                <w:szCs w:val="20"/>
                <w:lang w:val="en-GB"/>
              </w:rPr>
            </w:pPr>
            <w:r>
              <w:rPr>
                <w:b/>
                <w:sz w:val="20"/>
                <w:szCs w:val="20"/>
                <w:lang w:val="sr-Cyrl-CS" w:eastAsia="en-GB"/>
              </w:rPr>
              <w:t>НП</w:t>
            </w:r>
          </w:p>
          <w:p w:rsidR="0017553A" w:rsidRDefault="0017553A">
            <w:pPr>
              <w:rPr>
                <w:b/>
                <w:sz w:val="20"/>
                <w:szCs w:val="20"/>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rPr>
            </w:pPr>
            <w:r>
              <w:rPr>
                <w:sz w:val="20"/>
                <w:szCs w:val="20"/>
                <w:lang w:val="sr-Cyrl-CS" w:eastAsia="en-GB"/>
              </w:rPr>
              <w:t>Образложење оцене: Одредба 29.2</w:t>
            </w:r>
            <w:r>
              <w:rPr>
                <w:sz w:val="20"/>
                <w:szCs w:val="20"/>
                <w:lang w:val="sr-Latn-CS" w:eastAsia="en-GB"/>
              </w:rPr>
              <w:t>.</w:t>
            </w:r>
            <w:r>
              <w:rPr>
                <w:sz w:val="20"/>
                <w:szCs w:val="20"/>
                <w:lang w:val="sr-Latn-RS" w:eastAsia="en-GB"/>
              </w:rPr>
              <w:t xml:space="preserve"> </w:t>
            </w:r>
            <w:r>
              <w:rPr>
                <w:sz w:val="20"/>
                <w:szCs w:val="20"/>
                <w:lang w:val="sr-Cyrl-CS" w:eastAsia="en-GB"/>
              </w:rPr>
              <w:t xml:space="preserve">Уредбе није пренета Законом, јер се односи на  повлачење Одлука  </w:t>
            </w:r>
            <w:r>
              <w:rPr>
                <w:sz w:val="20"/>
                <w:szCs w:val="20"/>
              </w:rPr>
              <w:t>бр. 1673/2006/EC и 87/95/EEC.</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Height w:val="1275"/>
        </w:trPr>
        <w:tc>
          <w:tcPr>
            <w:tcW w:w="1371"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eastAsia="en-GB"/>
              </w:rPr>
            </w:pPr>
            <w:r>
              <w:rPr>
                <w:b/>
                <w:sz w:val="20"/>
                <w:szCs w:val="20"/>
                <w:lang w:eastAsia="en-GB"/>
              </w:rPr>
              <w:t>30.1.</w:t>
            </w:r>
          </w:p>
          <w:p w:rsidR="0017553A" w:rsidRDefault="0017553A">
            <w:pPr>
              <w:spacing w:after="0"/>
              <w:rPr>
                <w:b/>
                <w:sz w:val="20"/>
                <w:szCs w:val="20"/>
                <w:lang w:val="sr-Cyrl-CS" w:eastAsia="en-GB"/>
              </w:rPr>
            </w:pP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eastAsia="en-GB"/>
              </w:rPr>
            </w:pPr>
            <w:r>
              <w:rPr>
                <w:sz w:val="20"/>
                <w:szCs w:val="20"/>
                <w:lang w:eastAsia="en-GB"/>
              </w:rPr>
              <w:t xml:space="preserve">This Regulation shall enter into force on the twentieth day following that of its publication in the </w:t>
            </w:r>
            <w:r>
              <w:rPr>
                <w:i/>
                <w:iCs/>
                <w:sz w:val="20"/>
                <w:szCs w:val="20"/>
                <w:lang w:eastAsia="en-GB"/>
              </w:rPr>
              <w:t>Official Journal of the European Union</w:t>
            </w:r>
            <w:r>
              <w:rPr>
                <w:sz w:val="20"/>
                <w:szCs w:val="20"/>
                <w:lang w:eastAsia="en-GB"/>
              </w:rPr>
              <w:t xml:space="preserve">. </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tcPr>
          <w:p w:rsidR="0017553A" w:rsidRDefault="0017553A">
            <w:pPr>
              <w:rPr>
                <w:b/>
                <w:sz w:val="20"/>
                <w:szCs w:val="20"/>
                <w:lang w:val="en-GB"/>
              </w:rPr>
            </w:pPr>
            <w:r>
              <w:rPr>
                <w:b/>
                <w:sz w:val="20"/>
                <w:szCs w:val="20"/>
                <w:lang w:val="sr-Cyrl-CS" w:eastAsia="en-GB"/>
              </w:rPr>
              <w:t>НП</w:t>
            </w:r>
          </w:p>
          <w:p w:rsidR="0017553A" w:rsidRDefault="0017553A">
            <w:pPr>
              <w:rPr>
                <w:b/>
                <w:sz w:val="20"/>
                <w:szCs w:val="20"/>
                <w:lang w:val="sr-Cyrl-CS" w:eastAsia="en-GB"/>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eastAsia="en-GB"/>
              </w:rPr>
            </w:pPr>
            <w:r>
              <w:rPr>
                <w:sz w:val="20"/>
                <w:szCs w:val="20"/>
                <w:lang w:val="sr-Cyrl-CS" w:eastAsia="en-GB"/>
              </w:rPr>
              <w:t xml:space="preserve">Образложење оцене: Одредба 30.1. Уредбе није пренета Законом, јер се односи на ступање на снагу и објављивање  Уредбу 1025/2012.  </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Height w:val="383"/>
        </w:trPr>
        <w:tc>
          <w:tcPr>
            <w:tcW w:w="1371"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r>
              <w:rPr>
                <w:b/>
                <w:sz w:val="20"/>
                <w:szCs w:val="20"/>
                <w:lang w:eastAsia="en-GB"/>
              </w:rPr>
              <w:t>30.2.</w:t>
            </w:r>
          </w:p>
          <w:p w:rsidR="0017553A" w:rsidRDefault="0017553A">
            <w:pPr>
              <w:spacing w:after="0"/>
              <w:rPr>
                <w:b/>
                <w:sz w:val="20"/>
                <w:szCs w:val="20"/>
                <w:lang w:val="en-GB" w:eastAsia="en-GB"/>
              </w:rPr>
            </w:pP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rPr>
            </w:pPr>
            <w:r>
              <w:rPr>
                <w:sz w:val="20"/>
                <w:szCs w:val="20"/>
                <w:lang w:eastAsia="en-GB"/>
              </w:rPr>
              <w:t xml:space="preserve">It shall apply from 1 January 2013. </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rPr>
                <w:b/>
                <w:sz w:val="20"/>
                <w:szCs w:val="20"/>
                <w:lang w:val="sr-Cyrl-CS"/>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eastAsia="en-GB"/>
              </w:rPr>
            </w:pPr>
            <w:r>
              <w:rPr>
                <w:sz w:val="20"/>
                <w:szCs w:val="20"/>
                <w:lang w:val="sr-Cyrl-CS" w:eastAsia="en-GB"/>
              </w:rPr>
              <w:t>Образложење оцене: Одредба 30.2</w:t>
            </w:r>
            <w:r>
              <w:rPr>
                <w:sz w:val="20"/>
                <w:szCs w:val="20"/>
                <w:lang w:val="sr-Latn-CS" w:eastAsia="en-GB"/>
              </w:rPr>
              <w:t>.</w:t>
            </w:r>
            <w:r>
              <w:rPr>
                <w:sz w:val="20"/>
                <w:szCs w:val="20"/>
                <w:lang w:val="sr-Latn-RS" w:eastAsia="en-GB"/>
              </w:rPr>
              <w:t xml:space="preserve"> </w:t>
            </w:r>
            <w:r>
              <w:rPr>
                <w:sz w:val="20"/>
                <w:szCs w:val="20"/>
                <w:lang w:val="sr-Cyrl-CS" w:eastAsia="en-GB"/>
              </w:rPr>
              <w:t>Уредбе није пренета Законом,  јер се односи на  датум почетка примене Уредбе 1025/2012.</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Height w:val="1114"/>
        </w:trPr>
        <w:tc>
          <w:tcPr>
            <w:tcW w:w="1371"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p w:rsidR="0017553A" w:rsidRDefault="0017553A">
            <w:pPr>
              <w:spacing w:after="0"/>
              <w:rPr>
                <w:b/>
                <w:sz w:val="20"/>
                <w:szCs w:val="20"/>
                <w:lang w:val="sr-Cyrl-CS" w:eastAsia="en-GB"/>
              </w:rPr>
            </w:pPr>
            <w:r>
              <w:rPr>
                <w:b/>
                <w:sz w:val="20"/>
                <w:szCs w:val="20"/>
                <w:lang w:eastAsia="en-GB"/>
              </w:rPr>
              <w:t>30.3.</w:t>
            </w:r>
          </w:p>
          <w:p w:rsidR="0017553A" w:rsidRDefault="0017553A">
            <w:pPr>
              <w:spacing w:after="0"/>
              <w:rPr>
                <w:b/>
                <w:sz w:val="20"/>
                <w:szCs w:val="20"/>
                <w:lang w:val="sr-Cyrl-CS" w:eastAsia="en-GB"/>
              </w:rPr>
            </w:pPr>
          </w:p>
          <w:p w:rsidR="0017553A" w:rsidRDefault="0017553A">
            <w:pPr>
              <w:spacing w:after="0"/>
              <w:rPr>
                <w:b/>
                <w:sz w:val="20"/>
                <w:szCs w:val="20"/>
                <w:lang w:val="sr-Cyrl-CS" w:eastAsia="en-GB"/>
              </w:rPr>
            </w:pPr>
          </w:p>
          <w:p w:rsidR="0017553A" w:rsidRDefault="0017553A">
            <w:pPr>
              <w:rPr>
                <w:b/>
                <w:sz w:val="20"/>
                <w:szCs w:val="20"/>
                <w:lang w:val="sr-Cyrl-CS" w:eastAsia="en-GB"/>
              </w:rPr>
            </w:pP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eastAsia="en-GB"/>
              </w:rPr>
            </w:pPr>
            <w:r>
              <w:rPr>
                <w:sz w:val="20"/>
                <w:szCs w:val="20"/>
                <w:lang w:eastAsia="en-GB"/>
              </w:rPr>
              <w:t>This Regulation shall be binding in its entirety and directly applicable in all Member States.</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b/>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rPr>
                <w:b/>
                <w:sz w:val="20"/>
                <w:szCs w:val="20"/>
                <w:lang w:val="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rPr>
                <w:sz w:val="20"/>
                <w:szCs w:val="20"/>
                <w:lang w:val="sr-Cyrl-CS" w:eastAsia="en-GB"/>
              </w:rPr>
            </w:pPr>
            <w:r>
              <w:rPr>
                <w:sz w:val="20"/>
                <w:szCs w:val="20"/>
                <w:lang w:val="sr-Cyrl-CS" w:eastAsia="en-GB"/>
              </w:rPr>
              <w:t>Образложење оцене: Одредба 30.2</w:t>
            </w:r>
            <w:r>
              <w:rPr>
                <w:sz w:val="20"/>
                <w:szCs w:val="20"/>
                <w:lang w:val="sr-Latn-CS" w:eastAsia="en-GB"/>
              </w:rPr>
              <w:t>.</w:t>
            </w:r>
            <w:r>
              <w:rPr>
                <w:sz w:val="20"/>
                <w:szCs w:val="20"/>
                <w:lang w:val="sr-Latn-RS" w:eastAsia="en-GB"/>
              </w:rPr>
              <w:t xml:space="preserve"> </w:t>
            </w:r>
            <w:r>
              <w:rPr>
                <w:sz w:val="20"/>
                <w:szCs w:val="20"/>
                <w:lang w:val="sr-Cyrl-CS" w:eastAsia="en-GB"/>
              </w:rPr>
              <w:t>Уредбе није пренета Законом, јер прописује обавезе држава чланица ЕУ.</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tcPr>
          <w:p w:rsidR="0017553A" w:rsidRDefault="0017553A">
            <w:pPr>
              <w:pStyle w:val="CM4"/>
              <w:jc w:val="both"/>
              <w:rPr>
                <w:rFonts w:ascii="Times New Roman" w:hAnsi="Times New Roman"/>
                <w:b/>
                <w:sz w:val="20"/>
                <w:szCs w:val="20"/>
                <w:lang w:val="sr-Cyrl-CS" w:eastAsia="en-GB"/>
              </w:rPr>
            </w:pPr>
            <w:r>
              <w:rPr>
                <w:rFonts w:ascii="Times New Roman" w:hAnsi="Times New Roman"/>
                <w:b/>
                <w:iCs/>
                <w:sz w:val="20"/>
                <w:szCs w:val="20"/>
                <w:lang w:val="sr-Cyrl-CS" w:eastAsia="en-GB"/>
              </w:rPr>
              <w:t>А</w:t>
            </w:r>
            <w:r>
              <w:rPr>
                <w:rFonts w:ascii="Times New Roman" w:hAnsi="Times New Roman"/>
                <w:b/>
                <w:iCs/>
                <w:sz w:val="20"/>
                <w:szCs w:val="20"/>
                <w:vertAlign w:val="superscript"/>
                <w:lang w:val="sr-Cyrl-CS" w:eastAsia="en-GB"/>
              </w:rPr>
              <w:t>1</w:t>
            </w:r>
          </w:p>
          <w:p w:rsidR="0017553A" w:rsidRDefault="0017553A">
            <w:pPr>
              <w:spacing w:after="0"/>
              <w:rPr>
                <w:rFonts w:ascii="Times New Roman" w:hAnsi="Times New Roman"/>
                <w:b/>
                <w:sz w:val="20"/>
                <w:szCs w:val="20"/>
                <w:lang w:val="en-GB" w:eastAsia="en-GB"/>
              </w:rPr>
            </w:pPr>
          </w:p>
        </w:tc>
        <w:tc>
          <w:tcPr>
            <w:tcW w:w="4583" w:type="dxa"/>
            <w:gridSpan w:val="2"/>
            <w:tcBorders>
              <w:top w:val="single" w:sz="4" w:space="0" w:color="000000"/>
              <w:left w:val="single" w:sz="4" w:space="0" w:color="000000"/>
              <w:bottom w:val="single" w:sz="4" w:space="0" w:color="000000"/>
              <w:right w:val="single" w:sz="4" w:space="0" w:color="000000"/>
            </w:tcBorders>
          </w:tcPr>
          <w:p w:rsidR="0017553A" w:rsidRDefault="0017553A">
            <w:pPr>
              <w:pStyle w:val="CM4"/>
              <w:rPr>
                <w:rFonts w:ascii="Times New Roman" w:hAnsi="Times New Roman"/>
                <w:sz w:val="20"/>
                <w:szCs w:val="20"/>
                <w:lang w:eastAsia="en-GB"/>
              </w:rPr>
            </w:pPr>
            <w:r>
              <w:rPr>
                <w:rFonts w:ascii="Times New Roman" w:hAnsi="Times New Roman"/>
                <w:sz w:val="20"/>
                <w:szCs w:val="20"/>
                <w:lang w:eastAsia="en-GB"/>
              </w:rPr>
              <w:t>EUROPEAN STANDARDISATION ORGANISATIONS</w:t>
            </w:r>
          </w:p>
          <w:p w:rsidR="0017553A" w:rsidRDefault="0017553A">
            <w:pPr>
              <w:pStyle w:val="CM4"/>
              <w:rPr>
                <w:rFonts w:ascii="Times New Roman" w:hAnsi="Times New Roman"/>
                <w:sz w:val="20"/>
                <w:szCs w:val="20"/>
                <w:lang w:eastAsia="en-GB"/>
              </w:rPr>
            </w:pPr>
          </w:p>
          <w:p w:rsidR="0017553A" w:rsidRDefault="0017553A">
            <w:pPr>
              <w:pStyle w:val="CM4"/>
              <w:rPr>
                <w:rFonts w:ascii="Times New Roman" w:hAnsi="Times New Roman"/>
                <w:sz w:val="20"/>
                <w:szCs w:val="20"/>
                <w:lang w:eastAsia="en-GB"/>
              </w:rPr>
            </w:pPr>
            <w:r>
              <w:rPr>
                <w:rFonts w:ascii="Times New Roman" w:hAnsi="Times New Roman"/>
                <w:sz w:val="20"/>
                <w:szCs w:val="20"/>
                <w:lang w:eastAsia="en-GB"/>
              </w:rPr>
              <w:t xml:space="preserve">1. CEN — European Committee for Standardisation </w:t>
            </w:r>
          </w:p>
          <w:p w:rsidR="0017553A" w:rsidRDefault="0017553A">
            <w:pPr>
              <w:pStyle w:val="CM4"/>
              <w:rPr>
                <w:rFonts w:ascii="Times New Roman" w:hAnsi="Times New Roman"/>
                <w:sz w:val="20"/>
                <w:szCs w:val="20"/>
                <w:lang w:eastAsia="en-GB"/>
              </w:rPr>
            </w:pPr>
            <w:r>
              <w:rPr>
                <w:rFonts w:ascii="Times New Roman" w:hAnsi="Times New Roman"/>
                <w:sz w:val="20"/>
                <w:szCs w:val="20"/>
                <w:lang w:eastAsia="en-GB"/>
              </w:rPr>
              <w:t xml:space="preserve">2. Cenelec — European Committee for Electrotechnical Standardisation </w:t>
            </w:r>
          </w:p>
          <w:p w:rsidR="0017553A" w:rsidRDefault="0017553A">
            <w:pPr>
              <w:spacing w:after="0"/>
              <w:rPr>
                <w:rFonts w:ascii="Times New Roman" w:hAnsi="Times New Roman"/>
                <w:sz w:val="20"/>
                <w:szCs w:val="20"/>
                <w:lang w:val="sr-Cyrl-CS" w:eastAsia="en-GB"/>
              </w:rPr>
            </w:pPr>
            <w:r>
              <w:rPr>
                <w:sz w:val="20"/>
                <w:szCs w:val="20"/>
                <w:lang w:eastAsia="en-GB"/>
              </w:rPr>
              <w:t>3. ETSI — European Telecommunications Standards InstituteEN L 316/28 Official Journal of the European Union 14.11.2012</w:t>
            </w:r>
          </w:p>
        </w:tc>
        <w:tc>
          <w:tcPr>
            <w:tcW w:w="993"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b/>
                <w:sz w:val="20"/>
                <w:szCs w:val="20"/>
                <w:lang w:val="en-GB" w:eastAsia="en-GB"/>
              </w:rPr>
            </w:pPr>
            <w:r>
              <w:rPr>
                <w:b/>
                <w:sz w:val="20"/>
                <w:szCs w:val="20"/>
                <w:lang w:eastAsia="en-GB"/>
              </w:rPr>
              <w:t>0.1</w:t>
            </w:r>
          </w:p>
          <w:p w:rsidR="0017553A" w:rsidRDefault="0017553A">
            <w:pPr>
              <w:spacing w:after="0"/>
              <w:rPr>
                <w:b/>
                <w:sz w:val="20"/>
                <w:szCs w:val="20"/>
                <w:lang w:val="sr-Cyrl-CS" w:eastAsia="en-GB"/>
              </w:rPr>
            </w:pPr>
            <w:r>
              <w:rPr>
                <w:b/>
                <w:sz w:val="20"/>
                <w:szCs w:val="20"/>
                <w:lang w:val="sr-Cyrl-CS" w:eastAsia="en-GB"/>
              </w:rPr>
              <w:t>3.1.17)</w:t>
            </w:r>
          </w:p>
        </w:tc>
        <w:tc>
          <w:tcPr>
            <w:tcW w:w="3827"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iCs/>
                <w:sz w:val="20"/>
                <w:szCs w:val="20"/>
                <w:lang w:val="ru-RU" w:eastAsia="en-GB"/>
              </w:rPr>
            </w:pPr>
            <w:r>
              <w:rPr>
                <w:i/>
                <w:iCs/>
                <w:sz w:val="20"/>
                <w:szCs w:val="20"/>
                <w:lang w:val="ru-RU" w:eastAsia="en-GB"/>
              </w:rPr>
              <w:t>ЕВРОПСКЕ ОРГАНИЗАЦИЈЕ ЗА СТАНДАРДИЗАЦИЈУ</w:t>
            </w:r>
            <w:r>
              <w:rPr>
                <w:iCs/>
                <w:sz w:val="20"/>
                <w:szCs w:val="20"/>
                <w:lang w:val="ru-RU" w:eastAsia="en-GB"/>
              </w:rPr>
              <w:t xml:space="preserve"> СУ:</w:t>
            </w:r>
          </w:p>
          <w:p w:rsidR="0017553A" w:rsidRDefault="0017553A">
            <w:pPr>
              <w:spacing w:after="0"/>
              <w:rPr>
                <w:iCs/>
                <w:sz w:val="20"/>
                <w:szCs w:val="20"/>
                <w:lang w:val="ru-RU" w:eastAsia="en-GB"/>
              </w:rPr>
            </w:pPr>
            <w:r>
              <w:rPr>
                <w:iCs/>
                <w:sz w:val="20"/>
                <w:szCs w:val="20"/>
                <w:lang w:val="ru-RU" w:eastAsia="en-GB"/>
              </w:rPr>
              <w:t>- ЕВРОПСКИ КОМИТЕТ ЗА СТАНДАРДИЗАЦИЈУ (CEN);</w:t>
            </w:r>
          </w:p>
          <w:p w:rsidR="0017553A" w:rsidRDefault="0017553A">
            <w:pPr>
              <w:spacing w:after="0"/>
              <w:rPr>
                <w:iCs/>
                <w:sz w:val="20"/>
                <w:szCs w:val="20"/>
                <w:lang w:val="ru-RU" w:eastAsia="en-GB"/>
              </w:rPr>
            </w:pPr>
            <w:r>
              <w:rPr>
                <w:iCs/>
                <w:sz w:val="20"/>
                <w:szCs w:val="20"/>
                <w:lang w:val="ru-RU" w:eastAsia="en-GB"/>
              </w:rPr>
              <w:t>- ЕВРОПСКИ КОМИТЕТ ЗА СТАНДАРДИЗАЦИЈУ У ОБЛАСТИ ЕЛЕКТРОТЕХНИКЕ (CENELEC);</w:t>
            </w:r>
          </w:p>
          <w:p w:rsidR="0017553A" w:rsidRDefault="0017553A">
            <w:pPr>
              <w:spacing w:after="0"/>
              <w:rPr>
                <w:sz w:val="20"/>
                <w:szCs w:val="20"/>
                <w:lang w:val="sr-Cyrl-CS" w:eastAsia="en-GB"/>
              </w:rPr>
            </w:pPr>
            <w:r>
              <w:rPr>
                <w:iCs/>
                <w:sz w:val="20"/>
                <w:szCs w:val="20"/>
                <w:lang w:val="ru-RU" w:eastAsia="en-GB"/>
              </w:rPr>
              <w:t>- ЕВРОПСКИ ИНСТИТУТ ЗА СТАНДАРДЕ ИЗ ОБЛАСТИ ТЕЛЕКОМУНИКАЦИЈА (ETSI);</w:t>
            </w: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rPr>
                <w:b/>
                <w:sz w:val="20"/>
                <w:szCs w:val="20"/>
                <w:lang w:val="en-GB"/>
              </w:rPr>
            </w:pPr>
            <w:r>
              <w:rPr>
                <w:b/>
                <w:sz w:val="20"/>
                <w:szCs w:val="20"/>
                <w:lang w:val="sr-Cyrl-CS" w:eastAsia="en-GB"/>
              </w:rPr>
              <w:t>ПУ</w:t>
            </w:r>
          </w:p>
        </w:tc>
        <w:tc>
          <w:tcPr>
            <w:tcW w:w="2410" w:type="dxa"/>
            <w:gridSpan w:val="2"/>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tcPr>
          <w:p w:rsidR="0017553A" w:rsidRDefault="0017553A">
            <w:pPr>
              <w:pStyle w:val="CM4"/>
              <w:jc w:val="both"/>
              <w:rPr>
                <w:rFonts w:ascii="Times New Roman" w:hAnsi="Times New Roman"/>
                <w:b/>
                <w:sz w:val="20"/>
                <w:szCs w:val="20"/>
                <w:lang w:val="sr-Cyrl-CS" w:eastAsia="en-GB"/>
              </w:rPr>
            </w:pPr>
            <w:r>
              <w:rPr>
                <w:rFonts w:ascii="Times New Roman" w:hAnsi="Times New Roman"/>
                <w:b/>
                <w:sz w:val="20"/>
                <w:szCs w:val="20"/>
                <w:lang w:val="sr-Cyrl-CS" w:eastAsia="en-GB"/>
              </w:rPr>
              <w:t>А</w:t>
            </w:r>
            <w:r>
              <w:rPr>
                <w:rFonts w:ascii="Times New Roman" w:hAnsi="Times New Roman"/>
                <w:b/>
                <w:sz w:val="20"/>
                <w:szCs w:val="20"/>
                <w:vertAlign w:val="superscript"/>
                <w:lang w:val="sr-Cyrl-CS" w:eastAsia="en-GB"/>
              </w:rPr>
              <w:t>2</w:t>
            </w:r>
          </w:p>
          <w:p w:rsidR="0017553A" w:rsidRDefault="0017553A">
            <w:pPr>
              <w:spacing w:after="0"/>
              <w:rPr>
                <w:rFonts w:ascii="Times New Roman" w:hAnsi="Times New Roman"/>
                <w:b/>
                <w:sz w:val="20"/>
                <w:szCs w:val="20"/>
                <w:lang w:val="en-GB" w:eastAsia="en-GB"/>
              </w:rPr>
            </w:pP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eastAsia="en-GB"/>
              </w:rPr>
              <w:t>REQUIREMENTS FOR THE IDENTIFICATION OF ICT TEHNICAL SPECIFICATION</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rPr>
                <w:b/>
                <w:sz w:val="20"/>
                <w:szCs w:val="20"/>
                <w:lang w:val="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eastAsia="en-GB"/>
              </w:rPr>
            </w:pPr>
            <w:r>
              <w:rPr>
                <w:sz w:val="20"/>
                <w:szCs w:val="20"/>
                <w:lang w:val="sr-Cyrl-CS" w:eastAsia="en-GB"/>
              </w:rPr>
              <w:t xml:space="preserve">Образложење оцене: </w:t>
            </w:r>
          </w:p>
          <w:p w:rsidR="0017553A" w:rsidRDefault="0017553A">
            <w:pPr>
              <w:spacing w:after="0"/>
              <w:rPr>
                <w:sz w:val="20"/>
                <w:szCs w:val="20"/>
                <w:lang w:val="hr-HR" w:eastAsia="en-GB"/>
              </w:rPr>
            </w:pPr>
            <w:r>
              <w:rPr>
                <w:sz w:val="20"/>
                <w:szCs w:val="20"/>
                <w:lang w:val="sr-Cyrl-CS" w:eastAsia="en-GB"/>
              </w:rPr>
              <w:t xml:space="preserve">Анекс 2 није пренет Законом јер се односи се на обавезе европских организација за стандардизацију и на </w:t>
            </w:r>
            <w:r>
              <w:rPr>
                <w:sz w:val="20"/>
                <w:szCs w:val="20"/>
                <w:lang w:val="hr-HR" w:eastAsia="en-GB"/>
              </w:rPr>
              <w:t>захтев</w:t>
            </w:r>
            <w:r>
              <w:rPr>
                <w:sz w:val="20"/>
                <w:szCs w:val="20"/>
                <w:lang w:val="sr-Cyrl-CS" w:eastAsia="en-GB"/>
              </w:rPr>
              <w:t>е</w:t>
            </w:r>
            <w:r>
              <w:rPr>
                <w:sz w:val="20"/>
                <w:szCs w:val="20"/>
                <w:lang w:val="hr-HR" w:eastAsia="en-GB"/>
              </w:rPr>
              <w:t xml:space="preserve"> за идентификацију техничких спецификација</w:t>
            </w:r>
          </w:p>
          <w:p w:rsidR="0017553A" w:rsidRDefault="0017553A">
            <w:pPr>
              <w:spacing w:after="0"/>
              <w:rPr>
                <w:sz w:val="20"/>
                <w:szCs w:val="20"/>
                <w:lang w:val="sr-Cyrl-CS" w:eastAsia="en-GB"/>
              </w:rPr>
            </w:pPr>
            <w:r>
              <w:rPr>
                <w:sz w:val="20"/>
                <w:szCs w:val="20"/>
                <w:lang w:val="hr-HR" w:eastAsia="en-GB"/>
              </w:rPr>
              <w:t xml:space="preserve">у подручју </w:t>
            </w:r>
            <w:r>
              <w:rPr>
                <w:sz w:val="20"/>
                <w:szCs w:val="20"/>
                <w:lang w:eastAsia="en-GB"/>
              </w:rPr>
              <w:t xml:space="preserve"> ICT</w:t>
            </w:r>
            <w:r>
              <w:rPr>
                <w:sz w:val="20"/>
                <w:szCs w:val="20"/>
                <w:lang w:val="hr-HR" w:eastAsia="en-GB"/>
              </w:rPr>
              <w:t xml:space="preserve"> -а</w:t>
            </w:r>
            <w:r>
              <w:rPr>
                <w:sz w:val="20"/>
                <w:szCs w:val="20"/>
                <w:lang w:val="sr-Cyrl-CS" w:eastAsia="en-GB"/>
              </w:rPr>
              <w:t>.</w:t>
            </w:r>
          </w:p>
        </w:tc>
        <w:tc>
          <w:tcPr>
            <w:tcW w:w="1796" w:type="dxa"/>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w:t>
            </w: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tcPr>
          <w:p w:rsidR="0017553A" w:rsidRDefault="0017553A">
            <w:pPr>
              <w:pStyle w:val="CM4"/>
              <w:jc w:val="both"/>
              <w:rPr>
                <w:rFonts w:ascii="Times New Roman" w:hAnsi="Times New Roman"/>
                <w:b/>
                <w:sz w:val="20"/>
                <w:szCs w:val="20"/>
                <w:vertAlign w:val="superscript"/>
                <w:lang w:val="sr-Cyrl-CS" w:eastAsia="en-GB"/>
              </w:rPr>
            </w:pPr>
            <w:r>
              <w:rPr>
                <w:rFonts w:ascii="Times New Roman" w:hAnsi="Times New Roman"/>
                <w:b/>
                <w:i/>
                <w:iCs/>
                <w:sz w:val="20"/>
                <w:szCs w:val="20"/>
                <w:lang w:val="sr-Cyrl-CS" w:eastAsia="en-GB"/>
              </w:rPr>
              <w:t>А</w:t>
            </w:r>
            <w:r>
              <w:rPr>
                <w:rFonts w:ascii="Times New Roman" w:hAnsi="Times New Roman"/>
                <w:b/>
                <w:iCs/>
                <w:sz w:val="20"/>
                <w:szCs w:val="20"/>
                <w:vertAlign w:val="superscript"/>
                <w:lang w:val="sr-Cyrl-CS" w:eastAsia="en-GB"/>
              </w:rPr>
              <w:t>3</w:t>
            </w:r>
          </w:p>
          <w:p w:rsidR="0017553A" w:rsidRDefault="0017553A">
            <w:pPr>
              <w:spacing w:after="0"/>
              <w:rPr>
                <w:rFonts w:ascii="Times New Roman" w:hAnsi="Times New Roman"/>
                <w:b/>
                <w:sz w:val="20"/>
                <w:szCs w:val="20"/>
                <w:lang w:val="en-GB" w:eastAsia="en-GB"/>
              </w:rPr>
            </w:pP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eastAsia="en-GB"/>
              </w:rPr>
              <w:t>EUROPEAN STAKEHOLDERORGANISATIONS ELIGIBLE FOR UNION FINANCING</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rPr>
                <w:b/>
                <w:sz w:val="20"/>
                <w:szCs w:val="20"/>
                <w:lang w:val="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eastAsia="en-GB"/>
              </w:rPr>
            </w:pPr>
            <w:r>
              <w:rPr>
                <w:sz w:val="20"/>
                <w:szCs w:val="20"/>
                <w:lang w:val="sr-Cyrl-CS" w:eastAsia="en-GB"/>
              </w:rPr>
              <w:t xml:space="preserve">Образложење оцене:  </w:t>
            </w:r>
          </w:p>
          <w:p w:rsidR="0017553A" w:rsidRDefault="0017553A">
            <w:pPr>
              <w:spacing w:after="0"/>
              <w:rPr>
                <w:sz w:val="20"/>
                <w:szCs w:val="20"/>
                <w:lang w:val="sr-Cyrl-CS" w:eastAsia="en-GB"/>
              </w:rPr>
            </w:pPr>
            <w:r>
              <w:rPr>
                <w:sz w:val="20"/>
                <w:szCs w:val="20"/>
                <w:lang w:val="sr-Cyrl-CS" w:eastAsia="en-GB"/>
              </w:rPr>
              <w:t xml:space="preserve">Анекс 3 прописује услове које треба да испуне европске организације </w:t>
            </w:r>
            <w:r>
              <w:rPr>
                <w:sz w:val="20"/>
                <w:szCs w:val="20"/>
                <w:lang w:val="sr-Cyrl-CS" w:eastAsia="en-GB"/>
              </w:rPr>
              <w:lastRenderedPageBreak/>
              <w:t>да би могле да искористе могућност финансирања од стране ЕУ.</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r w:rsidR="0017553A" w:rsidTr="0017553A">
        <w:trPr>
          <w:gridBefore w:val="1"/>
          <w:wBefore w:w="259" w:type="dxa"/>
        </w:trPr>
        <w:tc>
          <w:tcPr>
            <w:tcW w:w="1371" w:type="dxa"/>
            <w:tcBorders>
              <w:top w:val="single" w:sz="4" w:space="0" w:color="000000"/>
              <w:left w:val="single" w:sz="4" w:space="0" w:color="000000"/>
              <w:bottom w:val="single" w:sz="4" w:space="0" w:color="000000"/>
              <w:right w:val="single" w:sz="4" w:space="0" w:color="000000"/>
            </w:tcBorders>
          </w:tcPr>
          <w:p w:rsidR="0017553A" w:rsidRDefault="0017553A">
            <w:pPr>
              <w:pStyle w:val="CM4"/>
              <w:jc w:val="both"/>
              <w:rPr>
                <w:rFonts w:ascii="Times New Roman" w:hAnsi="Times New Roman"/>
                <w:b/>
                <w:sz w:val="20"/>
                <w:szCs w:val="20"/>
                <w:lang w:val="sr-Cyrl-CS" w:eastAsia="en-GB"/>
              </w:rPr>
            </w:pPr>
            <w:r>
              <w:rPr>
                <w:rFonts w:ascii="Times New Roman" w:hAnsi="Times New Roman"/>
                <w:b/>
                <w:iCs/>
                <w:sz w:val="20"/>
                <w:szCs w:val="20"/>
                <w:lang w:val="sr-Cyrl-CS" w:eastAsia="en-GB"/>
              </w:rPr>
              <w:lastRenderedPageBreak/>
              <w:t>А</w:t>
            </w:r>
            <w:r>
              <w:rPr>
                <w:rFonts w:ascii="Times New Roman" w:hAnsi="Times New Roman"/>
                <w:b/>
                <w:iCs/>
                <w:sz w:val="20"/>
                <w:szCs w:val="20"/>
                <w:vertAlign w:val="superscript"/>
                <w:lang w:val="sr-Cyrl-CS" w:eastAsia="en-GB"/>
              </w:rPr>
              <w:t>4</w:t>
            </w:r>
          </w:p>
          <w:p w:rsidR="0017553A" w:rsidRDefault="0017553A">
            <w:pPr>
              <w:spacing w:after="0"/>
              <w:rPr>
                <w:rFonts w:ascii="Times New Roman" w:hAnsi="Times New Roman"/>
                <w:b/>
                <w:sz w:val="20"/>
                <w:szCs w:val="20"/>
                <w:lang w:val="en-GB" w:eastAsia="en-GB"/>
              </w:rPr>
            </w:pPr>
          </w:p>
        </w:tc>
        <w:tc>
          <w:tcPr>
            <w:tcW w:w="4583"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eastAsia="en-GB"/>
              </w:rPr>
              <w:t>CORELATION TABLE</w:t>
            </w:r>
          </w:p>
        </w:tc>
        <w:tc>
          <w:tcPr>
            <w:tcW w:w="993"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3827"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c>
          <w:tcPr>
            <w:tcW w:w="992" w:type="dxa"/>
            <w:tcBorders>
              <w:top w:val="single" w:sz="4" w:space="0" w:color="000000"/>
              <w:left w:val="single" w:sz="4" w:space="0" w:color="000000"/>
              <w:bottom w:val="single" w:sz="4" w:space="0" w:color="000000"/>
              <w:right w:val="single" w:sz="4" w:space="0" w:color="000000"/>
            </w:tcBorders>
            <w:hideMark/>
          </w:tcPr>
          <w:p w:rsidR="0017553A" w:rsidRDefault="0017553A">
            <w:pPr>
              <w:rPr>
                <w:b/>
                <w:sz w:val="20"/>
                <w:szCs w:val="20"/>
                <w:lang w:val="en-GB"/>
              </w:rPr>
            </w:pPr>
            <w:r>
              <w:rPr>
                <w:b/>
                <w:sz w:val="20"/>
                <w:szCs w:val="20"/>
                <w:lang w:val="sr-Cyrl-CS" w:eastAsia="en-GB"/>
              </w:rPr>
              <w:t>НП</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7553A" w:rsidRDefault="0017553A">
            <w:pPr>
              <w:spacing w:after="0"/>
              <w:rPr>
                <w:sz w:val="20"/>
                <w:szCs w:val="20"/>
                <w:lang w:val="sr-Cyrl-CS" w:eastAsia="en-GB"/>
              </w:rPr>
            </w:pPr>
            <w:r>
              <w:rPr>
                <w:sz w:val="20"/>
                <w:szCs w:val="20"/>
                <w:lang w:val="sr-Cyrl-CS" w:eastAsia="en-GB"/>
              </w:rPr>
              <w:t>Образложење оцене: Корелацијска табела</w:t>
            </w:r>
          </w:p>
        </w:tc>
        <w:tc>
          <w:tcPr>
            <w:tcW w:w="1796" w:type="dxa"/>
            <w:tcBorders>
              <w:top w:val="single" w:sz="4" w:space="0" w:color="000000"/>
              <w:left w:val="single" w:sz="4" w:space="0" w:color="000000"/>
              <w:bottom w:val="single" w:sz="4" w:space="0" w:color="000000"/>
              <w:right w:val="single" w:sz="4" w:space="0" w:color="000000"/>
            </w:tcBorders>
          </w:tcPr>
          <w:p w:rsidR="0017553A" w:rsidRDefault="0017553A">
            <w:pPr>
              <w:spacing w:after="0"/>
              <w:rPr>
                <w:sz w:val="20"/>
                <w:szCs w:val="20"/>
                <w:lang w:val="sr-Cyrl-CS" w:eastAsia="en-GB"/>
              </w:rPr>
            </w:pPr>
          </w:p>
        </w:tc>
      </w:tr>
    </w:tbl>
    <w:p w:rsidR="0017553A" w:rsidRDefault="0017553A" w:rsidP="0017553A">
      <w:pPr>
        <w:rPr>
          <w:sz w:val="20"/>
          <w:szCs w:val="20"/>
          <w:lang w:val="en-GB"/>
        </w:rPr>
      </w:pPr>
    </w:p>
    <w:p w:rsidR="00886A18" w:rsidRPr="0017553A" w:rsidRDefault="00886A18" w:rsidP="0017553A">
      <w:pPr>
        <w:pStyle w:val="Header"/>
        <w:jc w:val="both"/>
        <w:rPr>
          <w:rFonts w:ascii="Times New Roman" w:hAnsi="Times New Roman"/>
          <w:sz w:val="24"/>
          <w:szCs w:val="24"/>
        </w:rPr>
      </w:pPr>
      <w:bookmarkStart w:id="13" w:name="_GoBack"/>
      <w:bookmarkEnd w:id="13"/>
    </w:p>
    <w:sectPr w:rsidR="00886A18" w:rsidRPr="0017553A" w:rsidSect="0017553A">
      <w:pgSz w:w="15840" w:h="12240" w:orient="landscape"/>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1BC3" w:rsidRDefault="00A51BC3" w:rsidP="00944091">
      <w:pPr>
        <w:spacing w:after="0" w:line="240" w:lineRule="auto"/>
      </w:pPr>
      <w:r>
        <w:separator/>
      </w:r>
    </w:p>
  </w:endnote>
  <w:endnote w:type="continuationSeparator" w:id="0">
    <w:p w:rsidR="00A51BC3" w:rsidRDefault="00A51BC3" w:rsidP="009440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201" w:usb1="00000000" w:usb2="00000000" w:usb3="00000000" w:csb0="00000004"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091" w:rsidRPr="00944091" w:rsidRDefault="00944091">
    <w:pPr>
      <w:pStyle w:val="Footer"/>
      <w:jc w:val="right"/>
      <w:rPr>
        <w:rFonts w:ascii="Times New Roman" w:hAnsi="Times New Roman"/>
        <w:sz w:val="20"/>
        <w:szCs w:val="20"/>
      </w:rPr>
    </w:pPr>
    <w:r w:rsidRPr="00944091">
      <w:rPr>
        <w:rFonts w:ascii="Times New Roman" w:hAnsi="Times New Roman"/>
        <w:sz w:val="20"/>
        <w:szCs w:val="20"/>
      </w:rPr>
      <w:fldChar w:fldCharType="begin"/>
    </w:r>
    <w:r w:rsidRPr="00944091">
      <w:rPr>
        <w:rFonts w:ascii="Times New Roman" w:hAnsi="Times New Roman"/>
        <w:sz w:val="20"/>
        <w:szCs w:val="20"/>
      </w:rPr>
      <w:instrText xml:space="preserve"> PAGE   \* MERGEFORMAT </w:instrText>
    </w:r>
    <w:r w:rsidRPr="00944091">
      <w:rPr>
        <w:rFonts w:ascii="Times New Roman" w:hAnsi="Times New Roman"/>
        <w:sz w:val="20"/>
        <w:szCs w:val="20"/>
      </w:rPr>
      <w:fldChar w:fldCharType="separate"/>
    </w:r>
    <w:r w:rsidR="0017553A">
      <w:rPr>
        <w:rFonts w:ascii="Times New Roman" w:hAnsi="Times New Roman"/>
        <w:noProof/>
        <w:sz w:val="20"/>
        <w:szCs w:val="20"/>
      </w:rPr>
      <w:t>22</w:t>
    </w:r>
    <w:r w:rsidRPr="00944091">
      <w:rPr>
        <w:rFonts w:ascii="Times New Roman" w:hAnsi="Times New Roman"/>
        <w:sz w:val="20"/>
        <w:szCs w:val="20"/>
      </w:rPr>
      <w:fldChar w:fldCharType="end"/>
    </w:r>
  </w:p>
  <w:p w:rsidR="00944091" w:rsidRDefault="00944091">
    <w:pPr>
      <w:pStyle w:val="Footer"/>
    </w:pPr>
  </w:p>
  <w:p w:rsidR="00FE05C1" w:rsidRDefault="00FE05C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1BC3" w:rsidRDefault="00A51BC3" w:rsidP="00944091">
      <w:pPr>
        <w:spacing w:after="0" w:line="240" w:lineRule="auto"/>
      </w:pPr>
      <w:r>
        <w:separator/>
      </w:r>
    </w:p>
  </w:footnote>
  <w:footnote w:type="continuationSeparator" w:id="0">
    <w:p w:rsidR="00A51BC3" w:rsidRDefault="00A51BC3" w:rsidP="009440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95" w:rsidRDefault="009B3C95" w:rsidP="009B3C95">
    <w:pPr>
      <w:pStyle w:val="Header"/>
      <w:ind w:left="709"/>
    </w:pPr>
  </w:p>
  <w:p w:rsidR="00FE05C1" w:rsidRDefault="00FE05C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44113"/>
    <w:multiLevelType w:val="hybridMultilevel"/>
    <w:tmpl w:val="65FCDBE4"/>
    <w:lvl w:ilvl="0" w:tplc="04090011">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7130DB"/>
    <w:multiLevelType w:val="hybridMultilevel"/>
    <w:tmpl w:val="A0D6D07A"/>
    <w:lvl w:ilvl="0" w:tplc="DF22C36C">
      <w:numFmt w:val="bullet"/>
      <w:lvlText w:val="-"/>
      <w:lvlJc w:val="left"/>
      <w:pPr>
        <w:ind w:left="1440" w:hanging="360"/>
      </w:pPr>
      <w:rPr>
        <w:rFonts w:ascii="Calibri" w:eastAsia="Calibri" w:hAnsi="Calibri"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4834941"/>
    <w:multiLevelType w:val="hybridMultilevel"/>
    <w:tmpl w:val="086A36BA"/>
    <w:lvl w:ilvl="0" w:tplc="DF22C36C">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86421FE"/>
    <w:multiLevelType w:val="hybridMultilevel"/>
    <w:tmpl w:val="C07CDA14"/>
    <w:lvl w:ilvl="0" w:tplc="D4C2BC1A">
      <w:start w:val="1"/>
      <w:numFmt w:val="upperRoman"/>
      <w:lvlText w:val="%1."/>
      <w:lvlJc w:val="left"/>
      <w:pPr>
        <w:ind w:left="720" w:hanging="720"/>
      </w:pPr>
      <w:rPr>
        <w:rFonts w:cs="Times New Roman"/>
      </w:rPr>
    </w:lvl>
    <w:lvl w:ilvl="1" w:tplc="081A0019">
      <w:start w:val="1"/>
      <w:numFmt w:val="lowerLetter"/>
      <w:lvlText w:val="%2."/>
      <w:lvlJc w:val="left"/>
      <w:pPr>
        <w:ind w:left="1440" w:hanging="360"/>
      </w:pPr>
      <w:rPr>
        <w:rFonts w:cs="Times New Roman"/>
      </w:rPr>
    </w:lvl>
    <w:lvl w:ilvl="2" w:tplc="081A001B">
      <w:start w:val="1"/>
      <w:numFmt w:val="lowerRoman"/>
      <w:lvlText w:val="%3."/>
      <w:lvlJc w:val="right"/>
      <w:pPr>
        <w:ind w:left="2160" w:hanging="180"/>
      </w:pPr>
      <w:rPr>
        <w:rFonts w:cs="Times New Roman"/>
      </w:rPr>
    </w:lvl>
    <w:lvl w:ilvl="3" w:tplc="081A000F">
      <w:start w:val="1"/>
      <w:numFmt w:val="decimal"/>
      <w:lvlText w:val="%4."/>
      <w:lvlJc w:val="left"/>
      <w:pPr>
        <w:ind w:left="2880" w:hanging="360"/>
      </w:pPr>
      <w:rPr>
        <w:rFonts w:cs="Times New Roman"/>
      </w:rPr>
    </w:lvl>
    <w:lvl w:ilvl="4" w:tplc="081A0019">
      <w:start w:val="1"/>
      <w:numFmt w:val="lowerLetter"/>
      <w:lvlText w:val="%5."/>
      <w:lvlJc w:val="left"/>
      <w:pPr>
        <w:ind w:left="3600" w:hanging="360"/>
      </w:pPr>
      <w:rPr>
        <w:rFonts w:cs="Times New Roman"/>
      </w:rPr>
    </w:lvl>
    <w:lvl w:ilvl="5" w:tplc="081A001B">
      <w:start w:val="1"/>
      <w:numFmt w:val="lowerRoman"/>
      <w:lvlText w:val="%6."/>
      <w:lvlJc w:val="right"/>
      <w:pPr>
        <w:ind w:left="4320" w:hanging="180"/>
      </w:pPr>
      <w:rPr>
        <w:rFonts w:cs="Times New Roman"/>
      </w:rPr>
    </w:lvl>
    <w:lvl w:ilvl="6" w:tplc="081A000F">
      <w:start w:val="1"/>
      <w:numFmt w:val="decimal"/>
      <w:lvlText w:val="%7."/>
      <w:lvlJc w:val="left"/>
      <w:pPr>
        <w:ind w:left="5040" w:hanging="360"/>
      </w:pPr>
      <w:rPr>
        <w:rFonts w:cs="Times New Roman"/>
      </w:rPr>
    </w:lvl>
    <w:lvl w:ilvl="7" w:tplc="081A0019">
      <w:start w:val="1"/>
      <w:numFmt w:val="lowerLetter"/>
      <w:lvlText w:val="%8."/>
      <w:lvlJc w:val="left"/>
      <w:pPr>
        <w:ind w:left="5760" w:hanging="360"/>
      </w:pPr>
      <w:rPr>
        <w:rFonts w:cs="Times New Roman"/>
      </w:rPr>
    </w:lvl>
    <w:lvl w:ilvl="8" w:tplc="081A001B">
      <w:start w:val="1"/>
      <w:numFmt w:val="lowerRoman"/>
      <w:lvlText w:val="%9."/>
      <w:lvlJc w:val="right"/>
      <w:pPr>
        <w:ind w:left="6480" w:hanging="180"/>
      </w:pPr>
      <w:rPr>
        <w:rFonts w:cs="Times New Roman"/>
      </w:rPr>
    </w:lvl>
  </w:abstractNum>
  <w:abstractNum w:abstractNumId="4">
    <w:nsid w:val="4C575AF4"/>
    <w:multiLevelType w:val="hybridMultilevel"/>
    <w:tmpl w:val="1102EC22"/>
    <w:lvl w:ilvl="0" w:tplc="DF22C36C">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D2A77E2"/>
    <w:multiLevelType w:val="hybridMultilevel"/>
    <w:tmpl w:val="D5C0A2FC"/>
    <w:lvl w:ilvl="0" w:tplc="DF22C36C">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1"/>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CA2"/>
    <w:rsid w:val="0000383C"/>
    <w:rsid w:val="00011218"/>
    <w:rsid w:val="00011C5C"/>
    <w:rsid w:val="000241A3"/>
    <w:rsid w:val="00032F93"/>
    <w:rsid w:val="000355F6"/>
    <w:rsid w:val="00044C6E"/>
    <w:rsid w:val="000739C1"/>
    <w:rsid w:val="000773AB"/>
    <w:rsid w:val="00077986"/>
    <w:rsid w:val="000A41C0"/>
    <w:rsid w:val="000B316B"/>
    <w:rsid w:val="000B6E4C"/>
    <w:rsid w:val="000C08BF"/>
    <w:rsid w:val="000D0952"/>
    <w:rsid w:val="000F099E"/>
    <w:rsid w:val="000F4C80"/>
    <w:rsid w:val="001121EA"/>
    <w:rsid w:val="0011430D"/>
    <w:rsid w:val="0013455A"/>
    <w:rsid w:val="0014111C"/>
    <w:rsid w:val="001506E9"/>
    <w:rsid w:val="00172915"/>
    <w:rsid w:val="001735B5"/>
    <w:rsid w:val="00173CB1"/>
    <w:rsid w:val="00174FA9"/>
    <w:rsid w:val="0017553A"/>
    <w:rsid w:val="001804A4"/>
    <w:rsid w:val="001812C4"/>
    <w:rsid w:val="00195CBC"/>
    <w:rsid w:val="001A1556"/>
    <w:rsid w:val="001A3927"/>
    <w:rsid w:val="001B210A"/>
    <w:rsid w:val="001C5E60"/>
    <w:rsid w:val="001D6500"/>
    <w:rsid w:val="001E1A30"/>
    <w:rsid w:val="001E230A"/>
    <w:rsid w:val="001F3A18"/>
    <w:rsid w:val="001F704E"/>
    <w:rsid w:val="002046F4"/>
    <w:rsid w:val="002076AF"/>
    <w:rsid w:val="00210CA2"/>
    <w:rsid w:val="00222E11"/>
    <w:rsid w:val="00237AC5"/>
    <w:rsid w:val="00247944"/>
    <w:rsid w:val="00254A54"/>
    <w:rsid w:val="002649E2"/>
    <w:rsid w:val="002747C2"/>
    <w:rsid w:val="00275F05"/>
    <w:rsid w:val="00290246"/>
    <w:rsid w:val="002944DF"/>
    <w:rsid w:val="00295E48"/>
    <w:rsid w:val="002C2C97"/>
    <w:rsid w:val="002F7CCB"/>
    <w:rsid w:val="00304CFA"/>
    <w:rsid w:val="00312D79"/>
    <w:rsid w:val="00317968"/>
    <w:rsid w:val="00322FAC"/>
    <w:rsid w:val="00323A69"/>
    <w:rsid w:val="00327782"/>
    <w:rsid w:val="00331176"/>
    <w:rsid w:val="003334CE"/>
    <w:rsid w:val="00360B4A"/>
    <w:rsid w:val="00361CEB"/>
    <w:rsid w:val="0037374B"/>
    <w:rsid w:val="00380AE5"/>
    <w:rsid w:val="00381FF9"/>
    <w:rsid w:val="003831CB"/>
    <w:rsid w:val="00387204"/>
    <w:rsid w:val="00394C03"/>
    <w:rsid w:val="003C3907"/>
    <w:rsid w:val="003C4E5E"/>
    <w:rsid w:val="003D3566"/>
    <w:rsid w:val="003D5E15"/>
    <w:rsid w:val="003E2245"/>
    <w:rsid w:val="003F0A92"/>
    <w:rsid w:val="00423710"/>
    <w:rsid w:val="00445640"/>
    <w:rsid w:val="00463CDA"/>
    <w:rsid w:val="00474E0A"/>
    <w:rsid w:val="004931C6"/>
    <w:rsid w:val="00495D79"/>
    <w:rsid w:val="004B1BDE"/>
    <w:rsid w:val="004B431E"/>
    <w:rsid w:val="004C7533"/>
    <w:rsid w:val="004E21DE"/>
    <w:rsid w:val="004F2C87"/>
    <w:rsid w:val="00501460"/>
    <w:rsid w:val="00507079"/>
    <w:rsid w:val="0051761A"/>
    <w:rsid w:val="00523063"/>
    <w:rsid w:val="00530C5F"/>
    <w:rsid w:val="0053480A"/>
    <w:rsid w:val="00535AA1"/>
    <w:rsid w:val="005363F5"/>
    <w:rsid w:val="00552A43"/>
    <w:rsid w:val="00554394"/>
    <w:rsid w:val="005568D1"/>
    <w:rsid w:val="00562FAB"/>
    <w:rsid w:val="005726F3"/>
    <w:rsid w:val="00572B92"/>
    <w:rsid w:val="005807D8"/>
    <w:rsid w:val="00581141"/>
    <w:rsid w:val="005817F5"/>
    <w:rsid w:val="00594D4A"/>
    <w:rsid w:val="005966FF"/>
    <w:rsid w:val="005B44C9"/>
    <w:rsid w:val="005B4624"/>
    <w:rsid w:val="005B71C6"/>
    <w:rsid w:val="005C3441"/>
    <w:rsid w:val="005C5AE7"/>
    <w:rsid w:val="005E08B2"/>
    <w:rsid w:val="005E5538"/>
    <w:rsid w:val="005F0DC6"/>
    <w:rsid w:val="0060125F"/>
    <w:rsid w:val="00602D00"/>
    <w:rsid w:val="00623CAA"/>
    <w:rsid w:val="00624EC9"/>
    <w:rsid w:val="00625C50"/>
    <w:rsid w:val="00631865"/>
    <w:rsid w:val="00633010"/>
    <w:rsid w:val="00647886"/>
    <w:rsid w:val="006516CA"/>
    <w:rsid w:val="00651DBB"/>
    <w:rsid w:val="0068261F"/>
    <w:rsid w:val="00686926"/>
    <w:rsid w:val="006877E6"/>
    <w:rsid w:val="00692A96"/>
    <w:rsid w:val="00697048"/>
    <w:rsid w:val="006976B2"/>
    <w:rsid w:val="006A4808"/>
    <w:rsid w:val="006B0BA0"/>
    <w:rsid w:val="006B207F"/>
    <w:rsid w:val="006D60C4"/>
    <w:rsid w:val="006E232F"/>
    <w:rsid w:val="006F1CB3"/>
    <w:rsid w:val="006F32C7"/>
    <w:rsid w:val="006F63BD"/>
    <w:rsid w:val="00723038"/>
    <w:rsid w:val="007256F6"/>
    <w:rsid w:val="00741222"/>
    <w:rsid w:val="00743B74"/>
    <w:rsid w:val="00743EF7"/>
    <w:rsid w:val="00750415"/>
    <w:rsid w:val="00781C9E"/>
    <w:rsid w:val="00792662"/>
    <w:rsid w:val="007A47CD"/>
    <w:rsid w:val="007C181E"/>
    <w:rsid w:val="007C43E0"/>
    <w:rsid w:val="007D0194"/>
    <w:rsid w:val="007D60A9"/>
    <w:rsid w:val="007D696C"/>
    <w:rsid w:val="007E0726"/>
    <w:rsid w:val="007F1921"/>
    <w:rsid w:val="007F1E5B"/>
    <w:rsid w:val="00814D18"/>
    <w:rsid w:val="00825CBF"/>
    <w:rsid w:val="00856889"/>
    <w:rsid w:val="008641F9"/>
    <w:rsid w:val="00871C17"/>
    <w:rsid w:val="00871DC8"/>
    <w:rsid w:val="008869B9"/>
    <w:rsid w:val="00886A18"/>
    <w:rsid w:val="00890F26"/>
    <w:rsid w:val="008957F2"/>
    <w:rsid w:val="008A7252"/>
    <w:rsid w:val="008B0127"/>
    <w:rsid w:val="008B53CD"/>
    <w:rsid w:val="008C1F5B"/>
    <w:rsid w:val="008C5BDF"/>
    <w:rsid w:val="008F2D72"/>
    <w:rsid w:val="00900BBD"/>
    <w:rsid w:val="00900BD8"/>
    <w:rsid w:val="00901C87"/>
    <w:rsid w:val="009130ED"/>
    <w:rsid w:val="00944091"/>
    <w:rsid w:val="00947038"/>
    <w:rsid w:val="00950CF5"/>
    <w:rsid w:val="0095578D"/>
    <w:rsid w:val="0096434D"/>
    <w:rsid w:val="00967BF3"/>
    <w:rsid w:val="00974B6C"/>
    <w:rsid w:val="00976ACA"/>
    <w:rsid w:val="00980805"/>
    <w:rsid w:val="00983BDD"/>
    <w:rsid w:val="0099401E"/>
    <w:rsid w:val="009B0242"/>
    <w:rsid w:val="009B3C95"/>
    <w:rsid w:val="009C2153"/>
    <w:rsid w:val="009E1730"/>
    <w:rsid w:val="009E339D"/>
    <w:rsid w:val="009E7A64"/>
    <w:rsid w:val="009F3227"/>
    <w:rsid w:val="009F5F3C"/>
    <w:rsid w:val="00A04F20"/>
    <w:rsid w:val="00A35AC8"/>
    <w:rsid w:val="00A369FE"/>
    <w:rsid w:val="00A47C2E"/>
    <w:rsid w:val="00A50955"/>
    <w:rsid w:val="00A51BC3"/>
    <w:rsid w:val="00A52697"/>
    <w:rsid w:val="00A5456D"/>
    <w:rsid w:val="00A56F70"/>
    <w:rsid w:val="00A761E7"/>
    <w:rsid w:val="00A7663B"/>
    <w:rsid w:val="00A87AC6"/>
    <w:rsid w:val="00AA38B4"/>
    <w:rsid w:val="00AB018C"/>
    <w:rsid w:val="00AB4BC4"/>
    <w:rsid w:val="00AC136E"/>
    <w:rsid w:val="00AC3ADC"/>
    <w:rsid w:val="00AC4C64"/>
    <w:rsid w:val="00AC50EA"/>
    <w:rsid w:val="00AD3422"/>
    <w:rsid w:val="00AF4942"/>
    <w:rsid w:val="00AF49A0"/>
    <w:rsid w:val="00B203C1"/>
    <w:rsid w:val="00B4360E"/>
    <w:rsid w:val="00B4441E"/>
    <w:rsid w:val="00B473EB"/>
    <w:rsid w:val="00B47E3D"/>
    <w:rsid w:val="00B62DAD"/>
    <w:rsid w:val="00B9100D"/>
    <w:rsid w:val="00BA268C"/>
    <w:rsid w:val="00BA7051"/>
    <w:rsid w:val="00BB0F24"/>
    <w:rsid w:val="00BB159F"/>
    <w:rsid w:val="00BB164A"/>
    <w:rsid w:val="00BB6789"/>
    <w:rsid w:val="00BC118A"/>
    <w:rsid w:val="00BC431D"/>
    <w:rsid w:val="00BD0F07"/>
    <w:rsid w:val="00BD7C6A"/>
    <w:rsid w:val="00BE4F66"/>
    <w:rsid w:val="00BF3034"/>
    <w:rsid w:val="00C03272"/>
    <w:rsid w:val="00C10357"/>
    <w:rsid w:val="00C17C38"/>
    <w:rsid w:val="00C238C1"/>
    <w:rsid w:val="00C25968"/>
    <w:rsid w:val="00C32CAD"/>
    <w:rsid w:val="00C33A4A"/>
    <w:rsid w:val="00C3497B"/>
    <w:rsid w:val="00C43566"/>
    <w:rsid w:val="00C6371F"/>
    <w:rsid w:val="00C766E0"/>
    <w:rsid w:val="00C977E6"/>
    <w:rsid w:val="00CA1B65"/>
    <w:rsid w:val="00CA3BA2"/>
    <w:rsid w:val="00CA3E02"/>
    <w:rsid w:val="00CA4D2A"/>
    <w:rsid w:val="00CD4304"/>
    <w:rsid w:val="00CD613D"/>
    <w:rsid w:val="00CD785A"/>
    <w:rsid w:val="00CE5B05"/>
    <w:rsid w:val="00CE617F"/>
    <w:rsid w:val="00CE7D72"/>
    <w:rsid w:val="00CF04FB"/>
    <w:rsid w:val="00D161CD"/>
    <w:rsid w:val="00D32C8A"/>
    <w:rsid w:val="00D32D93"/>
    <w:rsid w:val="00D43366"/>
    <w:rsid w:val="00D70470"/>
    <w:rsid w:val="00D72622"/>
    <w:rsid w:val="00D84F9B"/>
    <w:rsid w:val="00DA3176"/>
    <w:rsid w:val="00DB1775"/>
    <w:rsid w:val="00DB5321"/>
    <w:rsid w:val="00DB537D"/>
    <w:rsid w:val="00DC0447"/>
    <w:rsid w:val="00DC6E86"/>
    <w:rsid w:val="00DD3577"/>
    <w:rsid w:val="00DE08F3"/>
    <w:rsid w:val="00DF49D5"/>
    <w:rsid w:val="00E00FC6"/>
    <w:rsid w:val="00E06A1F"/>
    <w:rsid w:val="00E17BBE"/>
    <w:rsid w:val="00E21862"/>
    <w:rsid w:val="00E2447A"/>
    <w:rsid w:val="00E2534C"/>
    <w:rsid w:val="00E3346D"/>
    <w:rsid w:val="00E3607E"/>
    <w:rsid w:val="00E51C72"/>
    <w:rsid w:val="00E54CB7"/>
    <w:rsid w:val="00E65437"/>
    <w:rsid w:val="00E71719"/>
    <w:rsid w:val="00E7231A"/>
    <w:rsid w:val="00E72DA2"/>
    <w:rsid w:val="00E77458"/>
    <w:rsid w:val="00E81BF0"/>
    <w:rsid w:val="00E82580"/>
    <w:rsid w:val="00E91853"/>
    <w:rsid w:val="00EA53CA"/>
    <w:rsid w:val="00EA5C9C"/>
    <w:rsid w:val="00EB12B3"/>
    <w:rsid w:val="00EB4E1B"/>
    <w:rsid w:val="00EB6F4A"/>
    <w:rsid w:val="00EF2586"/>
    <w:rsid w:val="00F209F5"/>
    <w:rsid w:val="00F23668"/>
    <w:rsid w:val="00F42357"/>
    <w:rsid w:val="00F45E76"/>
    <w:rsid w:val="00F4676A"/>
    <w:rsid w:val="00F55341"/>
    <w:rsid w:val="00F66BE4"/>
    <w:rsid w:val="00F860AA"/>
    <w:rsid w:val="00F901B2"/>
    <w:rsid w:val="00F93174"/>
    <w:rsid w:val="00F9509A"/>
    <w:rsid w:val="00FA2668"/>
    <w:rsid w:val="00FA287B"/>
    <w:rsid w:val="00FC26FE"/>
    <w:rsid w:val="00FC2D17"/>
    <w:rsid w:val="00FC42F2"/>
    <w:rsid w:val="00FD12C6"/>
    <w:rsid w:val="00FD5822"/>
    <w:rsid w:val="00FE05C1"/>
    <w:rsid w:val="00FE2237"/>
    <w:rsid w:val="00FE2B6F"/>
    <w:rsid w:val="00FE4DCC"/>
    <w:rsid w:val="00FF1623"/>
    <w:rsid w:val="00FF4690"/>
    <w:rsid w:val="00FF79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8F90C2-E951-4EF0-8A84-0048AB05D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6A1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tekst">
    <w:name w:val="1tekst"/>
    <w:basedOn w:val="Normal"/>
    <w:rsid w:val="00A369FE"/>
    <w:pPr>
      <w:spacing w:after="0" w:line="240" w:lineRule="auto"/>
      <w:ind w:left="250" w:right="250" w:firstLine="240"/>
      <w:jc w:val="both"/>
    </w:pPr>
    <w:rPr>
      <w:rFonts w:ascii="Arial" w:eastAsia="Times New Roman" w:hAnsi="Arial" w:cs="Arial"/>
      <w:sz w:val="20"/>
      <w:szCs w:val="20"/>
    </w:rPr>
  </w:style>
  <w:style w:type="paragraph" w:styleId="Header">
    <w:name w:val="header"/>
    <w:basedOn w:val="Normal"/>
    <w:link w:val="HeaderChar"/>
    <w:uiPriority w:val="99"/>
    <w:unhideWhenUsed/>
    <w:rsid w:val="00944091"/>
    <w:pPr>
      <w:tabs>
        <w:tab w:val="center" w:pos="4702"/>
        <w:tab w:val="right" w:pos="9405"/>
      </w:tabs>
    </w:pPr>
    <w:rPr>
      <w:lang w:val="x-none" w:eastAsia="x-none"/>
    </w:rPr>
  </w:style>
  <w:style w:type="character" w:customStyle="1" w:styleId="HeaderChar">
    <w:name w:val="Header Char"/>
    <w:link w:val="Header"/>
    <w:uiPriority w:val="99"/>
    <w:rsid w:val="00944091"/>
    <w:rPr>
      <w:sz w:val="22"/>
      <w:szCs w:val="22"/>
    </w:rPr>
  </w:style>
  <w:style w:type="paragraph" w:styleId="Footer">
    <w:name w:val="footer"/>
    <w:basedOn w:val="Normal"/>
    <w:link w:val="FooterChar"/>
    <w:uiPriority w:val="99"/>
    <w:unhideWhenUsed/>
    <w:rsid w:val="00944091"/>
    <w:pPr>
      <w:tabs>
        <w:tab w:val="center" w:pos="4702"/>
        <w:tab w:val="right" w:pos="9405"/>
      </w:tabs>
    </w:pPr>
    <w:rPr>
      <w:lang w:val="x-none" w:eastAsia="x-none"/>
    </w:rPr>
  </w:style>
  <w:style w:type="character" w:customStyle="1" w:styleId="FooterChar">
    <w:name w:val="Footer Char"/>
    <w:link w:val="Footer"/>
    <w:uiPriority w:val="99"/>
    <w:rsid w:val="00944091"/>
    <w:rPr>
      <w:sz w:val="22"/>
      <w:szCs w:val="22"/>
    </w:rPr>
  </w:style>
  <w:style w:type="character" w:styleId="CommentReference">
    <w:name w:val="annotation reference"/>
    <w:semiHidden/>
    <w:unhideWhenUsed/>
    <w:rsid w:val="00AA38B4"/>
    <w:rPr>
      <w:sz w:val="16"/>
      <w:szCs w:val="16"/>
    </w:rPr>
  </w:style>
  <w:style w:type="paragraph" w:styleId="CommentText">
    <w:name w:val="annotation text"/>
    <w:basedOn w:val="Normal"/>
    <w:link w:val="CommentTextChar"/>
    <w:semiHidden/>
    <w:unhideWhenUsed/>
    <w:rsid w:val="00AA38B4"/>
    <w:rPr>
      <w:sz w:val="20"/>
      <w:szCs w:val="20"/>
    </w:rPr>
  </w:style>
  <w:style w:type="character" w:customStyle="1" w:styleId="CommentTextChar">
    <w:name w:val="Comment Text Char"/>
    <w:link w:val="CommentText"/>
    <w:semiHidden/>
    <w:rsid w:val="00AA38B4"/>
    <w:rPr>
      <w:lang w:val="en-US" w:eastAsia="en-US"/>
    </w:rPr>
  </w:style>
  <w:style w:type="paragraph" w:styleId="CommentSubject">
    <w:name w:val="annotation subject"/>
    <w:basedOn w:val="CommentText"/>
    <w:next w:val="CommentText"/>
    <w:link w:val="CommentSubjectChar"/>
    <w:uiPriority w:val="99"/>
    <w:semiHidden/>
    <w:unhideWhenUsed/>
    <w:rsid w:val="00AA38B4"/>
    <w:rPr>
      <w:b/>
      <w:bCs/>
    </w:rPr>
  </w:style>
  <w:style w:type="character" w:customStyle="1" w:styleId="CommentSubjectChar">
    <w:name w:val="Comment Subject Char"/>
    <w:link w:val="CommentSubject"/>
    <w:uiPriority w:val="99"/>
    <w:semiHidden/>
    <w:rsid w:val="00AA38B4"/>
    <w:rPr>
      <w:b/>
      <w:bCs/>
      <w:lang w:val="en-US" w:eastAsia="en-US"/>
    </w:rPr>
  </w:style>
  <w:style w:type="paragraph" w:styleId="BalloonText">
    <w:name w:val="Balloon Text"/>
    <w:basedOn w:val="Normal"/>
    <w:link w:val="BalloonTextChar"/>
    <w:uiPriority w:val="99"/>
    <w:semiHidden/>
    <w:unhideWhenUsed/>
    <w:rsid w:val="00AA38B4"/>
    <w:pPr>
      <w:spacing w:after="0" w:line="240" w:lineRule="auto"/>
    </w:pPr>
    <w:rPr>
      <w:rFonts w:ascii="Tahoma" w:hAnsi="Tahoma"/>
      <w:sz w:val="16"/>
      <w:szCs w:val="16"/>
    </w:rPr>
  </w:style>
  <w:style w:type="character" w:customStyle="1" w:styleId="BalloonTextChar">
    <w:name w:val="Balloon Text Char"/>
    <w:link w:val="BalloonText"/>
    <w:uiPriority w:val="99"/>
    <w:semiHidden/>
    <w:rsid w:val="00AA38B4"/>
    <w:rPr>
      <w:rFonts w:ascii="Tahoma" w:hAnsi="Tahoma" w:cs="Tahoma"/>
      <w:sz w:val="16"/>
      <w:szCs w:val="16"/>
      <w:lang w:val="en-US" w:eastAsia="en-US"/>
    </w:rPr>
  </w:style>
  <w:style w:type="paragraph" w:customStyle="1" w:styleId="4clan">
    <w:name w:val="4clan"/>
    <w:basedOn w:val="Normal"/>
    <w:rsid w:val="003334CE"/>
    <w:pPr>
      <w:spacing w:before="20" w:after="20" w:line="240" w:lineRule="auto"/>
      <w:jc w:val="center"/>
    </w:pPr>
    <w:rPr>
      <w:rFonts w:ascii="Arial" w:eastAsia="Times New Roman" w:hAnsi="Arial" w:cs="Arial"/>
      <w:b/>
      <w:bCs/>
      <w:sz w:val="20"/>
      <w:szCs w:val="20"/>
    </w:rPr>
  </w:style>
  <w:style w:type="character" w:styleId="Hyperlink">
    <w:name w:val="Hyperlink"/>
    <w:semiHidden/>
    <w:unhideWhenUsed/>
    <w:rsid w:val="001A3927"/>
    <w:rPr>
      <w:rFonts w:ascii="Times New Roman" w:hAnsi="Times New Roman" w:cs="Times New Roman" w:hint="default"/>
      <w:color w:val="0000FF"/>
      <w:u w:val="single"/>
    </w:rPr>
  </w:style>
  <w:style w:type="paragraph" w:styleId="BodyTextIndent2">
    <w:name w:val="Body Text Indent 2"/>
    <w:basedOn w:val="Normal"/>
    <w:link w:val="BodyTextIndent2Char"/>
    <w:uiPriority w:val="99"/>
    <w:semiHidden/>
    <w:unhideWhenUsed/>
    <w:rsid w:val="001A3927"/>
    <w:pPr>
      <w:snapToGrid w:val="0"/>
      <w:spacing w:after="0" w:line="240" w:lineRule="auto"/>
      <w:ind w:firstLine="709"/>
      <w:jc w:val="both"/>
    </w:pPr>
    <w:rPr>
      <w:rFonts w:ascii="Times New Roman" w:eastAsia="Times New Roman" w:hAnsi="Times New Roman"/>
      <w:sz w:val="24"/>
      <w:szCs w:val="24"/>
      <w:lang w:val="sr-Cyrl-CS"/>
    </w:rPr>
  </w:style>
  <w:style w:type="character" w:customStyle="1" w:styleId="BodyTextIndent2Char">
    <w:name w:val="Body Text Indent 2 Char"/>
    <w:basedOn w:val="DefaultParagraphFont"/>
    <w:link w:val="BodyTextIndent2"/>
    <w:uiPriority w:val="99"/>
    <w:semiHidden/>
    <w:rsid w:val="001A3927"/>
    <w:rPr>
      <w:rFonts w:ascii="Times New Roman" w:eastAsia="Times New Roman" w:hAnsi="Times New Roman"/>
      <w:sz w:val="24"/>
      <w:szCs w:val="24"/>
      <w:lang w:val="sr-Cyrl-CS"/>
    </w:rPr>
  </w:style>
  <w:style w:type="paragraph" w:styleId="ListParagraph">
    <w:name w:val="List Paragraph"/>
    <w:basedOn w:val="Normal"/>
    <w:uiPriority w:val="34"/>
    <w:qFormat/>
    <w:rsid w:val="001A3927"/>
    <w:pPr>
      <w:ind w:left="720"/>
      <w:contextualSpacing/>
    </w:pPr>
    <w:rPr>
      <w:rFonts w:eastAsia="Times New Roman"/>
    </w:rPr>
  </w:style>
  <w:style w:type="paragraph" w:customStyle="1" w:styleId="Normal1">
    <w:name w:val="Normal1"/>
    <w:rsid w:val="001A3927"/>
    <w:pPr>
      <w:spacing w:line="276" w:lineRule="auto"/>
    </w:pPr>
    <w:rPr>
      <w:rFonts w:ascii="Arial" w:eastAsia="Times New Roman" w:hAnsi="Arial" w:cs="Arial"/>
      <w:color w:val="000000"/>
      <w:sz w:val="22"/>
      <w:szCs w:val="22"/>
    </w:rPr>
  </w:style>
  <w:style w:type="paragraph" w:customStyle="1" w:styleId="Normal11">
    <w:name w:val="Normal11"/>
    <w:rsid w:val="001A3927"/>
    <w:pPr>
      <w:spacing w:line="276" w:lineRule="auto"/>
    </w:pPr>
    <w:rPr>
      <w:rFonts w:ascii="Arial" w:eastAsia="Times New Roman" w:hAnsi="Arial" w:cs="Arial"/>
      <w:color w:val="000000"/>
      <w:sz w:val="22"/>
      <w:szCs w:val="22"/>
    </w:rPr>
  </w:style>
  <w:style w:type="paragraph" w:customStyle="1" w:styleId="6naslov">
    <w:name w:val="6naslov"/>
    <w:basedOn w:val="Normal"/>
    <w:rsid w:val="001A3927"/>
    <w:pPr>
      <w:spacing w:before="40" w:after="20" w:line="240" w:lineRule="auto"/>
      <w:ind w:left="150" w:right="150"/>
      <w:jc w:val="center"/>
    </w:pPr>
    <w:rPr>
      <w:rFonts w:ascii="Arial" w:eastAsia="Times New Roman" w:hAnsi="Arial" w:cs="Arial"/>
      <w:b/>
      <w:bCs/>
      <w:sz w:val="27"/>
      <w:szCs w:val="27"/>
    </w:rPr>
  </w:style>
  <w:style w:type="paragraph" w:customStyle="1" w:styleId="Default">
    <w:name w:val="Default"/>
    <w:rsid w:val="001A3927"/>
    <w:pPr>
      <w:autoSpaceDE w:val="0"/>
      <w:autoSpaceDN w:val="0"/>
      <w:adjustRightInd w:val="0"/>
    </w:pPr>
    <w:rPr>
      <w:rFonts w:ascii="Times New Roman" w:eastAsia="Times New Roman" w:hAnsi="Times New Roman"/>
      <w:color w:val="000000"/>
      <w:sz w:val="24"/>
      <w:szCs w:val="24"/>
      <w:lang w:val="en-GB"/>
    </w:rPr>
  </w:style>
  <w:style w:type="character" w:customStyle="1" w:styleId="FontStyle29">
    <w:name w:val="Font Style29"/>
    <w:uiPriority w:val="99"/>
    <w:rsid w:val="001A3927"/>
    <w:rPr>
      <w:rFonts w:ascii="Times New Roman" w:hAnsi="Times New Roman" w:cs="Times New Roman" w:hint="default"/>
      <w:i/>
      <w:iCs w:val="0"/>
      <w:sz w:val="22"/>
    </w:rPr>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single space,footnote te"/>
    <w:basedOn w:val="Normal"/>
    <w:link w:val="FootnoteTextChar"/>
    <w:uiPriority w:val="99"/>
    <w:semiHidden/>
    <w:unhideWhenUsed/>
    <w:rsid w:val="00173CB1"/>
    <w:pPr>
      <w:spacing w:after="0" w:line="240" w:lineRule="atLeast"/>
      <w:jc w:val="both"/>
    </w:pPr>
    <w:rPr>
      <w:rFonts w:ascii="Times New Roman" w:eastAsia="Times New Roman" w:hAnsi="Times New Roman"/>
      <w:sz w:val="24"/>
      <w:szCs w:val="20"/>
      <w:lang w:val="hu-HU" w:eastAsia="hr-HR"/>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single space Char"/>
    <w:basedOn w:val="DefaultParagraphFont"/>
    <w:link w:val="FootnoteText"/>
    <w:uiPriority w:val="99"/>
    <w:semiHidden/>
    <w:rsid w:val="00173CB1"/>
    <w:rPr>
      <w:rFonts w:ascii="Times New Roman" w:eastAsia="Times New Roman" w:hAnsi="Times New Roman"/>
      <w:sz w:val="24"/>
      <w:lang w:val="hu-HU" w:eastAsia="hr-HR"/>
    </w:rPr>
  </w:style>
  <w:style w:type="character" w:styleId="FollowedHyperlink">
    <w:name w:val="FollowedHyperlink"/>
    <w:basedOn w:val="DefaultParagraphFont"/>
    <w:uiPriority w:val="99"/>
    <w:semiHidden/>
    <w:unhideWhenUsed/>
    <w:rsid w:val="0017553A"/>
    <w:rPr>
      <w:color w:val="800080" w:themeColor="followedHyperlink"/>
      <w:u w:val="single"/>
    </w:rPr>
  </w:style>
  <w:style w:type="character" w:customStyle="1" w:styleId="FootnoteTextChar1">
    <w:name w:val="Footnote Text Char1"/>
    <w:aliases w:val="fn Char1,Footnote Text Char Char Char Char1,Footnote Text Char Char Char2,Fußnote Char1,Car Car Char1,Footnote Text Char Char1 Char1,Footnote Text Char1 Char Char Char1,Footnote Text Char Char1 Char Char Char1,single space Char1"/>
    <w:basedOn w:val="DefaultParagraphFont"/>
    <w:uiPriority w:val="99"/>
    <w:semiHidden/>
    <w:rsid w:val="0017553A"/>
    <w:rPr>
      <w:rFonts w:ascii="Times New Roman" w:hAnsi="Times New Roman"/>
      <w:lang w:val="en-GB"/>
    </w:rPr>
  </w:style>
  <w:style w:type="paragraph" w:styleId="NoSpacing">
    <w:name w:val="No Spacing"/>
    <w:uiPriority w:val="1"/>
    <w:qFormat/>
    <w:rsid w:val="0017553A"/>
    <w:rPr>
      <w:sz w:val="22"/>
      <w:szCs w:val="22"/>
    </w:rPr>
  </w:style>
  <w:style w:type="paragraph" w:styleId="Revision">
    <w:name w:val="Revision"/>
    <w:uiPriority w:val="99"/>
    <w:semiHidden/>
    <w:rsid w:val="0017553A"/>
    <w:rPr>
      <w:rFonts w:ascii="Times New Roman" w:hAnsi="Times New Roman"/>
      <w:sz w:val="24"/>
      <w:szCs w:val="22"/>
      <w:lang w:val="en-GB"/>
    </w:rPr>
  </w:style>
  <w:style w:type="paragraph" w:customStyle="1" w:styleId="Style4">
    <w:name w:val="Style4"/>
    <w:basedOn w:val="Normal"/>
    <w:uiPriority w:val="99"/>
    <w:rsid w:val="0017553A"/>
    <w:pPr>
      <w:widowControl w:val="0"/>
      <w:autoSpaceDE w:val="0"/>
      <w:autoSpaceDN w:val="0"/>
      <w:adjustRightInd w:val="0"/>
      <w:spacing w:after="0" w:line="240" w:lineRule="auto"/>
    </w:pPr>
    <w:rPr>
      <w:rFonts w:ascii="Book Antiqua" w:eastAsia="Times New Roman" w:hAnsi="Book Antiqua"/>
      <w:sz w:val="24"/>
      <w:szCs w:val="24"/>
    </w:rPr>
  </w:style>
  <w:style w:type="paragraph" w:customStyle="1" w:styleId="CM4">
    <w:name w:val="CM4"/>
    <w:basedOn w:val="Normal"/>
    <w:next w:val="Normal"/>
    <w:uiPriority w:val="99"/>
    <w:rsid w:val="0017553A"/>
    <w:pPr>
      <w:autoSpaceDE w:val="0"/>
      <w:autoSpaceDN w:val="0"/>
      <w:adjustRightInd w:val="0"/>
      <w:spacing w:after="0" w:line="240" w:lineRule="auto"/>
    </w:pPr>
    <w:rPr>
      <w:rFonts w:ascii="EUAlbertina" w:hAnsi="EUAlbertina"/>
      <w:sz w:val="24"/>
      <w:szCs w:val="24"/>
      <w:lang w:val="en-GB"/>
    </w:rPr>
  </w:style>
  <w:style w:type="paragraph" w:customStyle="1" w:styleId="CM1">
    <w:name w:val="CM1"/>
    <w:basedOn w:val="Normal"/>
    <w:next w:val="Normal"/>
    <w:uiPriority w:val="99"/>
    <w:rsid w:val="0017553A"/>
    <w:pPr>
      <w:autoSpaceDE w:val="0"/>
      <w:autoSpaceDN w:val="0"/>
      <w:adjustRightInd w:val="0"/>
      <w:spacing w:after="0" w:line="240" w:lineRule="auto"/>
    </w:pPr>
    <w:rPr>
      <w:rFonts w:ascii="EUAlbertina" w:hAnsi="EUAlbertina"/>
      <w:sz w:val="24"/>
      <w:szCs w:val="24"/>
      <w:lang w:val="en-GB"/>
    </w:rPr>
  </w:style>
  <w:style w:type="paragraph" w:customStyle="1" w:styleId="CM3">
    <w:name w:val="CM3"/>
    <w:basedOn w:val="Normal"/>
    <w:next w:val="Normal"/>
    <w:uiPriority w:val="99"/>
    <w:rsid w:val="0017553A"/>
    <w:pPr>
      <w:autoSpaceDE w:val="0"/>
      <w:autoSpaceDN w:val="0"/>
      <w:adjustRightInd w:val="0"/>
      <w:spacing w:after="0" w:line="240" w:lineRule="auto"/>
    </w:pPr>
    <w:rPr>
      <w:rFonts w:ascii="EUAlbertina" w:hAnsi="EUAlbertina"/>
      <w:sz w:val="24"/>
      <w:szCs w:val="24"/>
      <w:lang w:val="en-GB"/>
    </w:rPr>
  </w:style>
  <w:style w:type="paragraph" w:customStyle="1" w:styleId="stil1tekst">
    <w:name w:val="stil_1tekst"/>
    <w:basedOn w:val="Normal"/>
    <w:rsid w:val="0017553A"/>
    <w:pPr>
      <w:spacing w:after="0" w:line="240" w:lineRule="auto"/>
      <w:ind w:left="525" w:right="525" w:firstLine="240"/>
      <w:jc w:val="both"/>
    </w:pPr>
    <w:rPr>
      <w:rFonts w:ascii="Times New Roman" w:eastAsia="Times New Roman" w:hAnsi="Times New Roman"/>
      <w:sz w:val="24"/>
      <w:szCs w:val="24"/>
    </w:rPr>
  </w:style>
  <w:style w:type="character" w:styleId="FootnoteReference">
    <w:name w:val="footnote reference"/>
    <w:uiPriority w:val="99"/>
    <w:semiHidden/>
    <w:unhideWhenUsed/>
    <w:rsid w:val="0017553A"/>
    <w:rPr>
      <w:rFonts w:ascii="Times New Roman" w:hAnsi="Times New Roman" w:cs="Times New Roman" w:hint="default"/>
      <w:vertAlign w:val="superscript"/>
    </w:rPr>
  </w:style>
  <w:style w:type="character" w:customStyle="1" w:styleId="tw4winMark">
    <w:name w:val="tw4winMark"/>
    <w:rsid w:val="0017553A"/>
    <w:rPr>
      <w:rFonts w:ascii="Courier New" w:hAnsi="Courier New" w:cs="Courier New" w:hint="default"/>
      <w:vanish/>
      <w:webHidden w:val="0"/>
      <w:color w:val="800080"/>
      <w:vertAlign w:val="subscript"/>
      <w:specVanish w:val="0"/>
    </w:rPr>
  </w:style>
  <w:style w:type="character" w:customStyle="1" w:styleId="CommentSubjectChar1">
    <w:name w:val="Comment Subject Char1"/>
    <w:basedOn w:val="CommentTextChar"/>
    <w:uiPriority w:val="99"/>
    <w:semiHidden/>
    <w:rsid w:val="0017553A"/>
    <w:rPr>
      <w:rFonts w:ascii="Times New Roman" w:hAnsi="Times New Roman" w:cs="Times New Roman" w:hint="default"/>
      <w:b/>
      <w:bCs/>
      <w:lang w:val="en-GB"/>
    </w:rPr>
  </w:style>
  <w:style w:type="character" w:customStyle="1" w:styleId="BalloonTextChar1">
    <w:name w:val="Balloon Text Char1"/>
    <w:basedOn w:val="DefaultParagraphFont"/>
    <w:uiPriority w:val="99"/>
    <w:semiHidden/>
    <w:rsid w:val="0017553A"/>
    <w:rPr>
      <w:rFonts w:ascii="Segoe UI" w:hAnsi="Segoe UI" w:cs="Segoe UI" w:hint="default"/>
      <w:sz w:val="18"/>
      <w:szCs w:val="18"/>
      <w:lang w:val="en-GB"/>
    </w:rPr>
  </w:style>
  <w:style w:type="character" w:customStyle="1" w:styleId="HeaderChar1">
    <w:name w:val="Header Char1"/>
    <w:basedOn w:val="DefaultParagraphFont"/>
    <w:uiPriority w:val="99"/>
    <w:semiHidden/>
    <w:rsid w:val="0017553A"/>
    <w:rPr>
      <w:rFonts w:ascii="Times New Roman" w:hAnsi="Times New Roman" w:cs="Times New Roman" w:hint="default"/>
      <w:sz w:val="24"/>
      <w:szCs w:val="22"/>
      <w:lang w:val="en-GB"/>
    </w:rPr>
  </w:style>
  <w:style w:type="table" w:styleId="TableGrid">
    <w:name w:val="Table Grid"/>
    <w:basedOn w:val="TableNormal"/>
    <w:uiPriority w:val="59"/>
    <w:rsid w:val="0017553A"/>
    <w:rPr>
      <w:rFonts w:ascii="Times New Roman" w:hAnsi="Times New Roman"/>
      <w:lang w:eastAsia="en-GB"/>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Emphasis">
    <w:name w:val="Emphasis"/>
    <w:basedOn w:val="DefaultParagraphFont"/>
    <w:uiPriority w:val="20"/>
    <w:qFormat/>
    <w:rsid w:val="0017553A"/>
    <w:rPr>
      <w:i/>
      <w:iCs/>
    </w:rPr>
  </w:style>
  <w:style w:type="character" w:styleId="Strong">
    <w:name w:val="Strong"/>
    <w:basedOn w:val="DefaultParagraphFont"/>
    <w:uiPriority w:val="22"/>
    <w:qFormat/>
    <w:rsid w:val="001755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04426">
      <w:bodyDiv w:val="1"/>
      <w:marLeft w:val="0"/>
      <w:marRight w:val="0"/>
      <w:marTop w:val="0"/>
      <w:marBottom w:val="0"/>
      <w:divBdr>
        <w:top w:val="none" w:sz="0" w:space="0" w:color="auto"/>
        <w:left w:val="none" w:sz="0" w:space="0" w:color="auto"/>
        <w:bottom w:val="none" w:sz="0" w:space="0" w:color="auto"/>
        <w:right w:val="none" w:sz="0" w:space="0" w:color="auto"/>
      </w:divBdr>
    </w:div>
    <w:div w:id="174810954">
      <w:bodyDiv w:val="1"/>
      <w:marLeft w:val="0"/>
      <w:marRight w:val="0"/>
      <w:marTop w:val="0"/>
      <w:marBottom w:val="0"/>
      <w:divBdr>
        <w:top w:val="none" w:sz="0" w:space="0" w:color="auto"/>
        <w:left w:val="none" w:sz="0" w:space="0" w:color="auto"/>
        <w:bottom w:val="none" w:sz="0" w:space="0" w:color="auto"/>
        <w:right w:val="none" w:sz="0" w:space="0" w:color="auto"/>
      </w:divBdr>
    </w:div>
    <w:div w:id="327024880">
      <w:bodyDiv w:val="1"/>
      <w:marLeft w:val="0"/>
      <w:marRight w:val="0"/>
      <w:marTop w:val="0"/>
      <w:marBottom w:val="0"/>
      <w:divBdr>
        <w:top w:val="none" w:sz="0" w:space="0" w:color="auto"/>
        <w:left w:val="none" w:sz="0" w:space="0" w:color="auto"/>
        <w:bottom w:val="none" w:sz="0" w:space="0" w:color="auto"/>
        <w:right w:val="none" w:sz="0" w:space="0" w:color="auto"/>
      </w:divBdr>
    </w:div>
    <w:div w:id="2050954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pisi.net:8080/DocumnetWebClient/ingpro.webclient.Main/FileContentServlet/propis/0264cc/26428_02.ht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pisi.net:8080/DocumnetWebClient/ingpro.webclient.Main/FileContentServlet/propis/0264cc/26428_02.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pisi.net:8080/DocumnetWebClient/ingpro.webclient.Main/FileContentServlet/propis/0264cc/26428_02.htm" TargetMode="External"/><Relationship Id="rId4" Type="http://schemas.openxmlformats.org/officeDocument/2006/relationships/settings" Target="settings.xml"/><Relationship Id="rId9" Type="http://schemas.openxmlformats.org/officeDocument/2006/relationships/hyperlink" Target="http://www.propisi.net:8080/DocumnetWebClient/ingpro.webclient.Main/FileContentServlet/propis/0264cc/26428_02.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63963-0232-41B6-BAA5-632C910B0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80</Pages>
  <Words>20544</Words>
  <Characters>117105</Characters>
  <Application>Microsoft Office Word</Application>
  <DocSecurity>0</DocSecurity>
  <Lines>975</Lines>
  <Paragraphs>274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137375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tatjana.bojanic</dc:creator>
  <cp:lastModifiedBy>Bojan Grgic</cp:lastModifiedBy>
  <cp:revision>3</cp:revision>
  <cp:lastPrinted>2015-03-13T12:18:00Z</cp:lastPrinted>
  <dcterms:created xsi:type="dcterms:W3CDTF">2015-03-16T11:36:00Z</dcterms:created>
  <dcterms:modified xsi:type="dcterms:W3CDTF">2015-03-16T11:41:00Z</dcterms:modified>
</cp:coreProperties>
</file>