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1F2" w:rsidRPr="00D20567" w:rsidRDefault="001251F2" w:rsidP="00C51157">
      <w:pPr>
        <w:jc w:val="center"/>
        <w:rPr>
          <w:rFonts w:ascii="Times New Roman" w:hAnsi="Times New Roman"/>
          <w:sz w:val="24"/>
          <w:szCs w:val="24"/>
        </w:rPr>
      </w:pPr>
      <w:r w:rsidRPr="00D20567">
        <w:rPr>
          <w:rFonts w:ascii="Times New Roman" w:hAnsi="Times New Roman"/>
          <w:b/>
          <w:sz w:val="24"/>
          <w:szCs w:val="24"/>
        </w:rPr>
        <w:t>О Б Р А З Л О Ж Е Њ Е</w:t>
      </w:r>
    </w:p>
    <w:p w:rsidR="001251F2" w:rsidRPr="00D20567" w:rsidRDefault="001251F2" w:rsidP="00C51157">
      <w:pPr>
        <w:spacing w:line="360" w:lineRule="auto"/>
        <w:ind w:firstLine="720"/>
        <w:rPr>
          <w:rFonts w:ascii="Times New Roman" w:hAnsi="Times New Roman"/>
          <w:b/>
          <w:sz w:val="24"/>
          <w:szCs w:val="24"/>
        </w:rPr>
      </w:pPr>
      <w:r w:rsidRPr="00D20567">
        <w:rPr>
          <w:rFonts w:ascii="Times New Roman" w:hAnsi="Times New Roman"/>
          <w:b/>
          <w:sz w:val="24"/>
          <w:szCs w:val="24"/>
        </w:rPr>
        <w:t xml:space="preserve"> </w:t>
      </w:r>
    </w:p>
    <w:p w:rsidR="001251F2" w:rsidRPr="00D20567" w:rsidRDefault="001251F2" w:rsidP="00C51157">
      <w:pPr>
        <w:spacing w:line="360" w:lineRule="auto"/>
        <w:ind w:firstLine="720"/>
        <w:rPr>
          <w:rFonts w:ascii="Times New Roman" w:hAnsi="Times New Roman"/>
          <w:b/>
          <w:sz w:val="24"/>
          <w:szCs w:val="24"/>
        </w:rPr>
      </w:pPr>
      <w:smartTag w:uri="urn:schemas-microsoft-com:office:smarttags" w:element="place">
        <w:r w:rsidRPr="00D20567">
          <w:rPr>
            <w:rFonts w:ascii="Times New Roman" w:hAnsi="Times New Roman"/>
            <w:b/>
            <w:sz w:val="24"/>
            <w:szCs w:val="24"/>
          </w:rPr>
          <w:t>I.</w:t>
        </w:r>
      </w:smartTag>
      <w:r w:rsidRPr="00D20567">
        <w:rPr>
          <w:rFonts w:ascii="Times New Roman" w:hAnsi="Times New Roman"/>
          <w:b/>
          <w:sz w:val="24"/>
          <w:szCs w:val="24"/>
        </w:rPr>
        <w:t xml:space="preserve"> УСТАВНИ ОСНОВ </w:t>
      </w:r>
    </w:p>
    <w:p w:rsidR="001251F2" w:rsidRPr="00D20567" w:rsidRDefault="001251F2" w:rsidP="00265B46">
      <w:pPr>
        <w:spacing w:after="0" w:line="240" w:lineRule="auto"/>
        <w:ind w:firstLine="720"/>
        <w:jc w:val="both"/>
        <w:rPr>
          <w:rFonts w:ascii="Times New Roman" w:hAnsi="Times New Roman"/>
          <w:sz w:val="24"/>
          <w:szCs w:val="24"/>
        </w:rPr>
      </w:pPr>
      <w:r w:rsidRPr="00D20567">
        <w:rPr>
          <w:rFonts w:ascii="Times New Roman" w:hAnsi="Times New Roman"/>
          <w:sz w:val="24"/>
          <w:szCs w:val="24"/>
        </w:rPr>
        <w:t xml:space="preserve">Уставни основ за доношење </w:t>
      </w:r>
      <w:r>
        <w:rPr>
          <w:rFonts w:ascii="Times New Roman" w:hAnsi="Times New Roman"/>
          <w:sz w:val="24"/>
          <w:szCs w:val="24"/>
        </w:rPr>
        <w:t xml:space="preserve">Закона о </w:t>
      </w:r>
      <w:r w:rsidRPr="00D20567">
        <w:rPr>
          <w:rFonts w:ascii="Times New Roman" w:hAnsi="Times New Roman"/>
          <w:sz w:val="24"/>
          <w:szCs w:val="24"/>
        </w:rPr>
        <w:t>организацији и надлежности државних органа у сузбијању организованог криминала, тероризма и корупције садржан је у одредби члана 97. став 1. тачка 16. Устава Републике Србије, којом је прописано да Република Србија уређује и обезбеђује организацију, надлежност и рад републичких органа.</w:t>
      </w:r>
    </w:p>
    <w:p w:rsidR="001251F2" w:rsidRPr="00D20567" w:rsidRDefault="001251F2" w:rsidP="00265B46">
      <w:pPr>
        <w:spacing w:after="0" w:line="240" w:lineRule="auto"/>
        <w:ind w:firstLine="720"/>
        <w:jc w:val="both"/>
        <w:rPr>
          <w:rFonts w:ascii="Times New Roman" w:hAnsi="Times New Roman"/>
          <w:sz w:val="24"/>
          <w:szCs w:val="24"/>
        </w:rPr>
      </w:pPr>
    </w:p>
    <w:p w:rsidR="001251F2" w:rsidRPr="00D20567" w:rsidRDefault="001251F2" w:rsidP="00C51157">
      <w:pPr>
        <w:spacing w:after="0" w:line="240" w:lineRule="auto"/>
        <w:ind w:firstLine="720"/>
        <w:jc w:val="both"/>
        <w:rPr>
          <w:rFonts w:ascii="Times New Roman" w:hAnsi="Times New Roman"/>
          <w:sz w:val="24"/>
          <w:szCs w:val="24"/>
        </w:rPr>
      </w:pPr>
      <w:r w:rsidRPr="00D20567">
        <w:rPr>
          <w:rFonts w:ascii="Times New Roman" w:hAnsi="Times New Roman"/>
          <w:sz w:val="24"/>
          <w:szCs w:val="24"/>
        </w:rPr>
        <w:t xml:space="preserve"> </w:t>
      </w:r>
    </w:p>
    <w:p w:rsidR="001251F2" w:rsidRPr="00D20567" w:rsidRDefault="001251F2" w:rsidP="00C51157">
      <w:pPr>
        <w:spacing w:after="0" w:line="240" w:lineRule="auto"/>
        <w:ind w:firstLine="720"/>
        <w:jc w:val="both"/>
        <w:rPr>
          <w:rFonts w:ascii="Times New Roman" w:hAnsi="Times New Roman"/>
          <w:b/>
          <w:sz w:val="24"/>
          <w:szCs w:val="24"/>
        </w:rPr>
      </w:pPr>
      <w:r w:rsidRPr="00D20567">
        <w:rPr>
          <w:rFonts w:ascii="Times New Roman" w:hAnsi="Times New Roman"/>
          <w:b/>
          <w:sz w:val="24"/>
          <w:szCs w:val="24"/>
        </w:rPr>
        <w:t xml:space="preserve"> II.</w:t>
      </w:r>
      <w:r w:rsidRPr="00D20567">
        <w:rPr>
          <w:rFonts w:ascii="Times New Roman" w:hAnsi="Times New Roman"/>
          <w:sz w:val="24"/>
          <w:szCs w:val="24"/>
        </w:rPr>
        <w:t xml:space="preserve"> </w:t>
      </w:r>
      <w:r w:rsidRPr="00D20567">
        <w:rPr>
          <w:rFonts w:ascii="Times New Roman" w:hAnsi="Times New Roman"/>
          <w:b/>
          <w:sz w:val="24"/>
          <w:szCs w:val="24"/>
        </w:rPr>
        <w:t>РАЗЛОЗИ ЗА ДОНОШЕЊЕ ЗАКОНА</w:t>
      </w:r>
    </w:p>
    <w:p w:rsidR="001251F2" w:rsidRPr="00D20567" w:rsidRDefault="001251F2" w:rsidP="00C51157">
      <w:pPr>
        <w:spacing w:after="0" w:line="240" w:lineRule="auto"/>
        <w:ind w:firstLine="720"/>
        <w:jc w:val="both"/>
        <w:rPr>
          <w:rFonts w:ascii="Times New Roman" w:hAnsi="Times New Roman"/>
          <w:b/>
          <w:sz w:val="24"/>
          <w:szCs w:val="24"/>
        </w:rPr>
      </w:pPr>
    </w:p>
    <w:p w:rsidR="001251F2" w:rsidRPr="00D20567" w:rsidRDefault="001251F2" w:rsidP="00C51157">
      <w:pPr>
        <w:spacing w:after="0" w:line="240" w:lineRule="auto"/>
        <w:ind w:firstLine="720"/>
        <w:jc w:val="both"/>
        <w:rPr>
          <w:rFonts w:ascii="Times New Roman" w:hAnsi="Times New Roman"/>
          <w:b/>
          <w:sz w:val="24"/>
          <w:szCs w:val="24"/>
        </w:rPr>
      </w:pPr>
      <w:r w:rsidRPr="00D20567">
        <w:rPr>
          <w:rFonts w:ascii="Times New Roman" w:hAnsi="Times New Roman"/>
          <w:sz w:val="24"/>
          <w:szCs w:val="24"/>
        </w:rPr>
        <w:t>Важећи Закон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у осно</w:t>
      </w:r>
      <w:r>
        <w:rPr>
          <w:rFonts w:ascii="Times New Roman" w:hAnsi="Times New Roman"/>
          <w:sz w:val="24"/>
          <w:szCs w:val="24"/>
        </w:rPr>
        <w:t xml:space="preserve">вном тексту, донет је још 2002. </w:t>
      </w:r>
      <w:r w:rsidRPr="00D20567">
        <w:rPr>
          <w:rFonts w:ascii="Times New Roman" w:hAnsi="Times New Roman"/>
          <w:sz w:val="24"/>
          <w:szCs w:val="24"/>
        </w:rPr>
        <w:t>године и до сада је више пута мењан. Тим законом образовани су државни органа који су надлежни за сузбијање кривичних дела организованог криминала, корупције и других посебно тешких кривичних дела.</w:t>
      </w:r>
    </w:p>
    <w:p w:rsidR="001251F2" w:rsidRPr="00D20567" w:rsidRDefault="001251F2" w:rsidP="004936FB">
      <w:pPr>
        <w:pStyle w:val="Normal1"/>
        <w:shd w:val="clear" w:color="auto" w:fill="FFFFFF"/>
        <w:spacing w:before="0" w:beforeAutospacing="0" w:after="0" w:afterAutospacing="0"/>
        <w:ind w:firstLine="720"/>
        <w:jc w:val="both"/>
        <w:rPr>
          <w:rFonts w:ascii="Times New Roman" w:hAnsi="Times New Roman" w:cs="Times New Roman"/>
          <w:sz w:val="24"/>
          <w:szCs w:val="24"/>
        </w:rPr>
      </w:pPr>
      <w:r w:rsidRPr="00D20567">
        <w:rPr>
          <w:rFonts w:ascii="Times New Roman" w:hAnsi="Times New Roman"/>
          <w:color w:val="000000"/>
          <w:sz w:val="24"/>
          <w:szCs w:val="24"/>
        </w:rPr>
        <w:t>Међутим, уочени недостаци у раду ових државних органа</w:t>
      </w:r>
      <w:r w:rsidRPr="00D20567">
        <w:rPr>
          <w:rFonts w:ascii="Times New Roman" w:hAnsi="Times New Roman" w:cs="Times New Roman"/>
          <w:sz w:val="24"/>
          <w:szCs w:val="24"/>
        </w:rPr>
        <w:t xml:space="preserve"> наметнули су потребу редефинисања њихове организационе структуре, односно законског уређења координације, међусобне сарадње и размене података са другим државним органима, посебно у циљу откривања, кривичног гоњења и суђења за коруптивна и друга посебно тешка кривична дела.</w:t>
      </w:r>
    </w:p>
    <w:p w:rsidR="001251F2" w:rsidRPr="00D20567" w:rsidRDefault="001251F2" w:rsidP="00F85099">
      <w:pPr>
        <w:pStyle w:val="Normal1"/>
        <w:shd w:val="clear" w:color="auto" w:fill="FFFFFF"/>
        <w:spacing w:before="0" w:beforeAutospacing="0" w:after="0" w:afterAutospacing="0"/>
        <w:ind w:firstLine="720"/>
        <w:jc w:val="both"/>
        <w:rPr>
          <w:rFonts w:ascii="Times New Roman" w:hAnsi="Times New Roman" w:cs="Times New Roman"/>
          <w:sz w:val="24"/>
          <w:szCs w:val="24"/>
        </w:rPr>
      </w:pPr>
      <w:r w:rsidRPr="00D20567">
        <w:rPr>
          <w:rFonts w:ascii="Times New Roman" w:hAnsi="Times New Roman" w:cs="Times New Roman"/>
          <w:sz w:val="24"/>
          <w:szCs w:val="24"/>
        </w:rPr>
        <w:t>Постојећи унутрашњи правни оквир не прописује адекватне механизме за повезивање широког круга државних органа и концетрације стручног знања које би, у зависности од сваког конкретног предмета, јавном тужиоцу, као надлежном органу чије је основно право и дужност гоњење учинилаца кривичних дела, пружало</w:t>
      </w:r>
      <w:r w:rsidRPr="00D20567">
        <w:rPr>
          <w:rFonts w:ascii="Times New Roman" w:hAnsi="Times New Roman" w:cs="Times New Roman"/>
          <w:color w:val="000000"/>
          <w:sz w:val="24"/>
          <w:szCs w:val="24"/>
        </w:rPr>
        <w:t xml:space="preserve"> јаку потпору, не само за спровођење истраге, односно прикупљање материјала за подизање оптужног акта, већ и даље током судског поступка, све до правоснажног окончања.</w:t>
      </w:r>
    </w:p>
    <w:p w:rsidR="001251F2" w:rsidRPr="00D20567" w:rsidRDefault="001251F2" w:rsidP="008F0404">
      <w:pPr>
        <w:pStyle w:val="NoSpacing"/>
        <w:ind w:firstLine="720"/>
        <w:jc w:val="both"/>
        <w:rPr>
          <w:rFonts w:ascii="Times New Roman" w:hAnsi="Times New Roman"/>
          <w:sz w:val="24"/>
          <w:szCs w:val="24"/>
        </w:rPr>
      </w:pPr>
      <w:r w:rsidRPr="00D20567">
        <w:rPr>
          <w:rFonts w:ascii="Times New Roman" w:hAnsi="Times New Roman"/>
          <w:sz w:val="24"/>
          <w:szCs w:val="24"/>
        </w:rPr>
        <w:t>Обавеза доношења оваквог законског прописа произлази из Националне стратегије за борбу корупције за период од 2013. до 2018. године („Службени гласник РС”, број 57/13)</w:t>
      </w:r>
      <w:r>
        <w:rPr>
          <w:rFonts w:ascii="Times New Roman" w:hAnsi="Times New Roman"/>
          <w:sz w:val="24"/>
          <w:szCs w:val="24"/>
        </w:rPr>
        <w:t>, као</w:t>
      </w:r>
      <w:r w:rsidRPr="00D20567">
        <w:rPr>
          <w:rFonts w:ascii="Times New Roman" w:hAnsi="Times New Roman"/>
          <w:sz w:val="24"/>
          <w:szCs w:val="24"/>
        </w:rPr>
        <w:t xml:space="preserve"> и пратећег Акционог плана („Службени гласник РС”, број 79/13), а директно из Стратегије истрага финансијског криминала за период од 2015. до 2016. године („Службени гласник РС”, број </w:t>
      </w:r>
      <w:r>
        <w:rPr>
          <w:rFonts w:ascii="Times New Roman" w:hAnsi="Times New Roman"/>
          <w:sz w:val="24"/>
          <w:szCs w:val="24"/>
        </w:rPr>
        <w:t>43/15</w:t>
      </w:r>
      <w:r w:rsidRPr="00D20567">
        <w:rPr>
          <w:rFonts w:ascii="Times New Roman" w:hAnsi="Times New Roman"/>
          <w:sz w:val="24"/>
          <w:szCs w:val="24"/>
        </w:rPr>
        <w:t>)</w:t>
      </w:r>
      <w:r>
        <w:rPr>
          <w:rFonts w:ascii="Times New Roman" w:hAnsi="Times New Roman"/>
          <w:sz w:val="24"/>
          <w:szCs w:val="24"/>
        </w:rPr>
        <w:t xml:space="preserve"> </w:t>
      </w:r>
      <w:r w:rsidRPr="00D20567">
        <w:rPr>
          <w:rFonts w:ascii="Times New Roman" w:hAnsi="Times New Roman"/>
          <w:sz w:val="24"/>
          <w:szCs w:val="24"/>
        </w:rPr>
        <w:t>(у даљем тексту: Стратегија).</w:t>
      </w:r>
    </w:p>
    <w:p w:rsidR="001251F2" w:rsidRPr="00D20567" w:rsidRDefault="001251F2" w:rsidP="001A0F13">
      <w:pPr>
        <w:pStyle w:val="NoSpacing"/>
        <w:ind w:firstLine="720"/>
        <w:jc w:val="both"/>
        <w:rPr>
          <w:rFonts w:ascii="Times New Roman" w:hAnsi="Times New Roman"/>
          <w:sz w:val="24"/>
          <w:szCs w:val="24"/>
        </w:rPr>
      </w:pPr>
      <w:r w:rsidRPr="00D20567">
        <w:rPr>
          <w:rFonts w:ascii="Times New Roman" w:hAnsi="Times New Roman"/>
          <w:sz w:val="24"/>
          <w:szCs w:val="24"/>
        </w:rPr>
        <w:t xml:space="preserve"> Наиме, у другом делу Стратегије који носи наслов „Реформа постојећег система спровођења истрага финансијског криминала”, у опису стања рада делотворних репресивних органа наводи се да сви напредни алати и технике борбе против финансијског криминала, нова унутрашња организација полиције, јавног тужилаштва, судова, начин сарадње између полиције, јавног тужилаштва, Пореске управе, Управе за спречавање прања новца и других државних органа, као и финансијска форензика, морају бити уређени новим законом о организацији и надлежности државних органа у сузбијању организованог криминала, корупције и других посебно тешких кривичних дела. </w:t>
      </w:r>
    </w:p>
    <w:p w:rsidR="001251F2" w:rsidRPr="00D20567" w:rsidRDefault="001251F2" w:rsidP="003956C1">
      <w:pPr>
        <w:pStyle w:val="NoSpacing"/>
        <w:jc w:val="both"/>
        <w:rPr>
          <w:rFonts w:ascii="Times New Roman" w:hAnsi="Times New Roman"/>
          <w:color w:val="000000"/>
          <w:sz w:val="24"/>
          <w:szCs w:val="24"/>
        </w:rPr>
      </w:pPr>
      <w:r w:rsidRPr="00D20567">
        <w:rPr>
          <w:rFonts w:ascii="Times New Roman" w:hAnsi="Times New Roman"/>
          <w:b/>
          <w:sz w:val="24"/>
          <w:szCs w:val="24"/>
        </w:rPr>
        <w:tab/>
      </w:r>
      <w:r w:rsidRPr="00D20567">
        <w:rPr>
          <w:rFonts w:ascii="Times New Roman" w:hAnsi="Times New Roman"/>
          <w:sz w:val="24"/>
          <w:szCs w:val="24"/>
        </w:rPr>
        <w:t xml:space="preserve">Предложени закон нормативно решава питања организационог карактера, неопходна за ефикасну борбу против корупције, организованог, финансијског, привредног и криминала против службене дужности, али и питања успостављања концентрације најбољих људских и материјалних ресурса на једном месту. Такође, у складу са Стартегијом, овим законом су </w:t>
      </w:r>
      <w:r w:rsidRPr="00D20567">
        <w:rPr>
          <w:rFonts w:ascii="Times New Roman" w:hAnsi="Times New Roman"/>
          <w:color w:val="000000"/>
          <w:sz w:val="24"/>
          <w:szCs w:val="24"/>
        </w:rPr>
        <w:t xml:space="preserve">кривична дела против привреде и кривична дела против службене дужности одређена као кривична дела финансијског криминала и корупције. </w:t>
      </w:r>
    </w:p>
    <w:p w:rsidR="001251F2" w:rsidRPr="00D20567" w:rsidRDefault="001251F2" w:rsidP="003956C1">
      <w:pPr>
        <w:pStyle w:val="NoSpacing"/>
        <w:jc w:val="both"/>
        <w:rPr>
          <w:rFonts w:ascii="Times New Roman" w:hAnsi="Times New Roman"/>
          <w:sz w:val="24"/>
          <w:szCs w:val="24"/>
          <w:u w:val="single"/>
        </w:rPr>
      </w:pPr>
      <w:r w:rsidRPr="00D20567">
        <w:rPr>
          <w:rFonts w:ascii="Times New Roman" w:hAnsi="Times New Roman"/>
          <w:color w:val="000000"/>
          <w:sz w:val="24"/>
          <w:szCs w:val="24"/>
        </w:rPr>
        <w:tab/>
        <w:t>Дакле, закон представља основу за реализацију свих циљева које поставља Стратегија, како у погледу рада делотворних репресивних органа, тако и погледу унапређене сарадње кроз посебне новине у виду увођења службеника за везу, ударних група и финасијских форензичара у наш репресивни систем.</w:t>
      </w:r>
    </w:p>
    <w:p w:rsidR="001251F2" w:rsidRPr="00D20567" w:rsidRDefault="001251F2" w:rsidP="00E75D76">
      <w:pPr>
        <w:pStyle w:val="NoSpacing"/>
        <w:ind w:firstLine="720"/>
        <w:jc w:val="both"/>
        <w:rPr>
          <w:rFonts w:ascii="Times New Roman" w:hAnsi="Times New Roman"/>
          <w:sz w:val="24"/>
          <w:szCs w:val="24"/>
        </w:rPr>
      </w:pPr>
      <w:r w:rsidRPr="00D20567">
        <w:rPr>
          <w:rFonts w:ascii="Times New Roman" w:hAnsi="Times New Roman"/>
          <w:sz w:val="24"/>
          <w:szCs w:val="24"/>
        </w:rPr>
        <w:t>Обавеза Републике Србије да законом уреди сва горе наведена питања произлази и из међународних уговора које је наша држава потврдила. Ово из  разлога</w:t>
      </w:r>
      <w:r>
        <w:rPr>
          <w:rFonts w:ascii="Times New Roman" w:hAnsi="Times New Roman"/>
          <w:sz w:val="24"/>
          <w:szCs w:val="24"/>
        </w:rPr>
        <w:t>,</w:t>
      </w:r>
      <w:r w:rsidRPr="00D20567">
        <w:rPr>
          <w:rFonts w:ascii="Times New Roman" w:hAnsi="Times New Roman"/>
          <w:sz w:val="24"/>
          <w:szCs w:val="24"/>
        </w:rPr>
        <w:t xml:space="preserve"> што су потврђени међународни акти, сходно хијерархији важења прописа, део унутрашњег правног поретка, који се непосредно примењују и имај примат у односу на законе и друге опште акте. Међународне конвенције, и то: Конвенција Уједињених нација против незаконитог промета опојних дрога и психотропних супстанци („Службени лист СФРЈ – Међународни уговори”, број 14/90), Конвенција о прању, тражењу,  заплени и конфискацији прихода стечених криминалом („Службени лист СРЈ – Међународни уговори”, број 7/02 и „Службени лист СЦГ – Међународни уговори”, број 18/05), Кривичноправна конвенција о корупцији („Службени лист СРЈ – Међународни уговори”, број 2/02, „Службени лист СЦГ – Међународни уговори”, број 18/05 и </w:t>
      </w:r>
      <w:r w:rsidRPr="00D20567">
        <w:rPr>
          <w:rFonts w:ascii="Times New Roman" w:hAnsi="Times New Roman"/>
          <w:color w:val="000000"/>
          <w:sz w:val="24"/>
          <w:szCs w:val="24"/>
        </w:rPr>
        <w:t xml:space="preserve">„Службени гласник РС </w:t>
      </w:r>
      <w:r w:rsidRPr="00D20567">
        <w:rPr>
          <w:rFonts w:ascii="Times New Roman" w:hAnsi="Times New Roman"/>
          <w:sz w:val="24"/>
          <w:szCs w:val="24"/>
        </w:rPr>
        <w:t>– Међународни уговори</w:t>
      </w:r>
      <w:r w:rsidRPr="00D20567">
        <w:rPr>
          <w:rFonts w:ascii="Times New Roman" w:hAnsi="Times New Roman"/>
          <w:color w:val="000000"/>
          <w:sz w:val="24"/>
          <w:szCs w:val="24"/>
        </w:rPr>
        <w:t>”, број 102/07</w:t>
      </w:r>
      <w:r w:rsidRPr="00D20567">
        <w:rPr>
          <w:rFonts w:ascii="Times New Roman" w:hAnsi="Times New Roman"/>
          <w:sz w:val="24"/>
          <w:szCs w:val="24"/>
        </w:rPr>
        <w:t>), Конвенција Уједињених нација  против транснационалног организованог криминала („Службени лист СРЈ – Међународни уговори”, број 6/01 и „Службени лист СЦГ – Међународни уговори”, број 11/05), Конвенција Уједињених нација против корупције („Службени лист СЦГ – Међународни уговори”, број 12/05), Конвенција Савета Европе о прању, тражењу, заплени и одузимању прихода стечених криминалом и о финансирању тероризма („Службени гласник РС – Међународни уговори”, број 19/09), предвиђају или обавезују примену законских механизама, односно финансијских истражних радњи, како би се олакшало прикупљање доказа.</w:t>
      </w:r>
      <w:r w:rsidRPr="00D20567">
        <w:t xml:space="preserve"> </w:t>
      </w:r>
      <w:r w:rsidRPr="00D20567">
        <w:rPr>
          <w:rFonts w:ascii="Times New Roman" w:hAnsi="Times New Roman"/>
          <w:sz w:val="24"/>
          <w:szCs w:val="24"/>
        </w:rPr>
        <w:t>Неопходност унапређења истражних метода у борби против организованог криминала, истовремене истраге кријумчарења дроге криминалних организација и њихових финансија и утврђивања финансија и имовине коју има организација предвиђена је и Препоруком о истоврем</w:t>
      </w:r>
      <w:r>
        <w:rPr>
          <w:rFonts w:ascii="Times New Roman" w:hAnsi="Times New Roman"/>
          <w:sz w:val="24"/>
          <w:szCs w:val="24"/>
        </w:rPr>
        <w:t>еним истрагама Савета Е</w:t>
      </w:r>
      <w:r w:rsidRPr="00D20567">
        <w:rPr>
          <w:rFonts w:ascii="Times New Roman" w:hAnsi="Times New Roman"/>
          <w:sz w:val="24"/>
          <w:szCs w:val="24"/>
        </w:rPr>
        <w:t xml:space="preserve">вропе од 25. априла 2002. године. Поред тога, посебно је важно истаћи да је предметни закон усаглашен и са 40 нових ревидираних препорука FATF-а, према којима треба проширити овлашћења агенције за спровођење закона и истражних органа, при чему је акценат на употреби мултидисциплинарних истражних група и истрага у сарадњи с другим државама.  </w:t>
      </w:r>
    </w:p>
    <w:p w:rsidR="001251F2" w:rsidRPr="00D20567" w:rsidRDefault="001251F2" w:rsidP="002D561E">
      <w:pPr>
        <w:pStyle w:val="NoSpacing"/>
        <w:jc w:val="both"/>
        <w:rPr>
          <w:rFonts w:ascii="Times New Roman" w:hAnsi="Times New Roman"/>
          <w:sz w:val="24"/>
          <w:szCs w:val="24"/>
        </w:rPr>
      </w:pPr>
    </w:p>
    <w:p w:rsidR="001251F2" w:rsidRDefault="001251F2" w:rsidP="00DF7915">
      <w:pPr>
        <w:pStyle w:val="Normal1"/>
        <w:shd w:val="clear" w:color="auto" w:fill="FFFFFF"/>
        <w:spacing w:before="0" w:beforeAutospacing="0" w:after="0" w:afterAutospacing="0" w:line="308" w:lineRule="atLeast"/>
        <w:jc w:val="both"/>
        <w:rPr>
          <w:rFonts w:ascii="Times New Roman" w:hAnsi="Times New Roman" w:cs="Times New Roman"/>
          <w:sz w:val="24"/>
          <w:szCs w:val="24"/>
        </w:rPr>
      </w:pPr>
      <w:r w:rsidRPr="00D20567">
        <w:rPr>
          <w:rFonts w:ascii="Times New Roman" w:hAnsi="Times New Roman" w:cs="Times New Roman"/>
          <w:sz w:val="24"/>
          <w:szCs w:val="24"/>
        </w:rPr>
        <w:tab/>
      </w:r>
    </w:p>
    <w:p w:rsidR="001251F2" w:rsidRPr="00D20567" w:rsidRDefault="001251F2" w:rsidP="00DF7915">
      <w:pPr>
        <w:pStyle w:val="Normal1"/>
        <w:shd w:val="clear" w:color="auto" w:fill="FFFFFF"/>
        <w:spacing w:before="0" w:beforeAutospacing="0" w:after="0" w:afterAutospacing="0" w:line="308" w:lineRule="atLeast"/>
        <w:jc w:val="both"/>
        <w:rPr>
          <w:rFonts w:ascii="Times New Roman" w:hAnsi="Times New Roman" w:cs="Times New Roman"/>
          <w:sz w:val="24"/>
          <w:szCs w:val="24"/>
        </w:rPr>
      </w:pPr>
    </w:p>
    <w:p w:rsidR="001251F2" w:rsidRPr="00D20567" w:rsidRDefault="001251F2" w:rsidP="00C51157">
      <w:pPr>
        <w:spacing w:after="0" w:line="240" w:lineRule="auto"/>
        <w:ind w:firstLine="720"/>
        <w:jc w:val="both"/>
        <w:rPr>
          <w:rFonts w:ascii="Times New Roman" w:hAnsi="Times New Roman"/>
          <w:b/>
          <w:sz w:val="24"/>
          <w:szCs w:val="24"/>
        </w:rPr>
      </w:pPr>
      <w:r w:rsidRPr="00D20567">
        <w:rPr>
          <w:rFonts w:ascii="Times New Roman" w:hAnsi="Times New Roman"/>
          <w:b/>
          <w:sz w:val="24"/>
          <w:szCs w:val="24"/>
        </w:rPr>
        <w:t>III. ОБЈАШЊЕЊЕ ПОЈЕДИНАЧНИХ РЕШЕЊА</w:t>
      </w:r>
    </w:p>
    <w:p w:rsidR="001251F2" w:rsidRPr="00D20567" w:rsidRDefault="001251F2" w:rsidP="00C51157">
      <w:pPr>
        <w:spacing w:after="0" w:line="240" w:lineRule="auto"/>
        <w:ind w:firstLine="720"/>
        <w:jc w:val="both"/>
        <w:rPr>
          <w:rFonts w:ascii="Times New Roman" w:hAnsi="Times New Roman"/>
          <w:b/>
          <w:sz w:val="24"/>
          <w:szCs w:val="24"/>
        </w:rPr>
      </w:pPr>
    </w:p>
    <w:p w:rsidR="001251F2" w:rsidRPr="00D20567" w:rsidRDefault="001251F2" w:rsidP="0053041A">
      <w:pPr>
        <w:spacing w:after="0" w:line="240" w:lineRule="auto"/>
        <w:jc w:val="both"/>
        <w:rPr>
          <w:rFonts w:ascii="Times New Roman" w:hAnsi="Times New Roman"/>
          <w:sz w:val="24"/>
          <w:szCs w:val="24"/>
        </w:rPr>
      </w:pPr>
      <w:r w:rsidRPr="00D20567">
        <w:rPr>
          <w:rFonts w:ascii="Times New Roman" w:hAnsi="Times New Roman"/>
          <w:b/>
          <w:sz w:val="24"/>
          <w:szCs w:val="24"/>
        </w:rPr>
        <w:tab/>
      </w:r>
      <w:r>
        <w:rPr>
          <w:rFonts w:ascii="Times New Roman" w:hAnsi="Times New Roman"/>
          <w:sz w:val="24"/>
          <w:szCs w:val="24"/>
        </w:rPr>
        <w:t>Закон</w:t>
      </w:r>
      <w:r w:rsidRPr="00D20567">
        <w:rPr>
          <w:rFonts w:ascii="Times New Roman" w:hAnsi="Times New Roman"/>
          <w:sz w:val="24"/>
          <w:szCs w:val="24"/>
        </w:rPr>
        <w:t xml:space="preserve"> садржи девет глава, и то: уводне одредбе, организација и надлежност државних органа у сузбијању организованог криминала и тероризма, организација и надлежност државних органа у сузбијању корупције, служба финансијске форензике, сарадња државних органа, обука, подаци о имовном стању и безбедносне провере лица, чување тајних података и прелазне и завршне одредбе.</w:t>
      </w:r>
    </w:p>
    <w:p w:rsidR="001251F2" w:rsidRPr="00D20567" w:rsidRDefault="001251F2" w:rsidP="004C25FB">
      <w:pPr>
        <w:spacing w:after="0"/>
        <w:ind w:firstLine="720"/>
        <w:jc w:val="both"/>
        <w:rPr>
          <w:rFonts w:ascii="Times New Roman" w:hAnsi="Times New Roman"/>
          <w:sz w:val="24"/>
          <w:szCs w:val="24"/>
        </w:rPr>
      </w:pPr>
      <w:r w:rsidRPr="00D20567">
        <w:rPr>
          <w:rFonts w:ascii="Times New Roman" w:hAnsi="Times New Roman"/>
          <w:sz w:val="24"/>
          <w:szCs w:val="24"/>
        </w:rPr>
        <w:t xml:space="preserve">У Уводним одредбама Закона (чл. 1. и 2) одређује се предмет Закона и наводе се кривична дела на која се закон примењује, при чему су називи кривичних дела и бројеви чланова кривичних дела из Кривичног законика усаглашени са текстом </w:t>
      </w:r>
      <w:r>
        <w:rPr>
          <w:rFonts w:ascii="Times New Roman" w:hAnsi="Times New Roman"/>
          <w:sz w:val="24"/>
          <w:szCs w:val="24"/>
          <w:lang w:val="sr-Cyrl-CS"/>
        </w:rPr>
        <w:t xml:space="preserve">Предлога </w:t>
      </w:r>
      <w:r w:rsidRPr="00D20567">
        <w:rPr>
          <w:rFonts w:ascii="Times New Roman" w:hAnsi="Times New Roman"/>
          <w:sz w:val="24"/>
          <w:szCs w:val="24"/>
        </w:rPr>
        <w:t>закона о измена и допунама Кривичног законика. Одредбом члана 2. став 1. тачка 1) Закона предвиђено је да се Закон примењује ради откривања, кривичног гоњења и суђења за кривична дела организованог криминала, што подразумева да се предметни закон примењује увек када је одређено кривично дела почињено од стране групе од три или више лица, која постоји одређено време и делује споразумно, у циљу вршења једног или више кривичних дела за која је прописана казна затвора од четири године или тежа казна, ради непосредног или посредног стицања финансијске или друге користи. Даље, прописано је да се Закон примењује на кривична дела из чл. 310. и 311. Кривичног законика, на кривична дела против службене дужности садржана у Глави тридесет трећој Кривичног законика, осим кривичних дела из чл. 360. и 369, као и на ревидирана кривична дела против привреде. У тачки 5) истог става наведена су кривична дела против човечности и других добара заштићених међународним правом на која се закон примењује. Примена предм</w:t>
      </w:r>
      <w:r>
        <w:rPr>
          <w:rFonts w:ascii="Times New Roman" w:hAnsi="Times New Roman"/>
          <w:sz w:val="24"/>
          <w:szCs w:val="24"/>
        </w:rPr>
        <w:t>етног закона</w:t>
      </w:r>
      <w:r w:rsidRPr="00D20567">
        <w:rPr>
          <w:rFonts w:ascii="Times New Roman" w:hAnsi="Times New Roman"/>
          <w:sz w:val="24"/>
          <w:szCs w:val="24"/>
        </w:rPr>
        <w:t xml:space="preserve"> на поједина кривична дела против државних органа, односно против правосуђа је условно постављена, у смислу да ће се закон на ова дела примењивати тек уколико су иста извршена  у вези са кривичним дела из тач. 1) до 5) тог члана Закона.</w:t>
      </w:r>
    </w:p>
    <w:p w:rsidR="001251F2" w:rsidRPr="00D20567" w:rsidRDefault="001251F2" w:rsidP="00D77675">
      <w:pPr>
        <w:spacing w:after="0"/>
        <w:ind w:firstLine="720"/>
        <w:jc w:val="both"/>
        <w:rPr>
          <w:rFonts w:ascii="Times New Roman" w:hAnsi="Times New Roman"/>
          <w:sz w:val="24"/>
          <w:szCs w:val="24"/>
        </w:rPr>
      </w:pPr>
      <w:r w:rsidRPr="00D20567">
        <w:rPr>
          <w:rFonts w:ascii="Times New Roman" w:hAnsi="Times New Roman"/>
          <w:sz w:val="24"/>
          <w:szCs w:val="24"/>
        </w:rPr>
        <w:t>Организација и надлежност државних органа у сузбијању организованог криминала и тероризма уређена је чл. 3</w:t>
      </w:r>
      <w:r>
        <w:rPr>
          <w:rFonts w:ascii="Times New Roman" w:hAnsi="Times New Roman"/>
          <w:sz w:val="24"/>
          <w:szCs w:val="24"/>
        </w:rPr>
        <w:t>. до</w:t>
      </w:r>
      <w:r>
        <w:rPr>
          <w:rFonts w:ascii="Times New Roman" w:hAnsi="Times New Roman"/>
          <w:sz w:val="24"/>
          <w:szCs w:val="24"/>
          <w:lang w:val="sr-Cyrl-CS"/>
        </w:rPr>
        <w:t xml:space="preserve"> </w:t>
      </w:r>
      <w:r w:rsidRPr="00D20567">
        <w:rPr>
          <w:rFonts w:ascii="Times New Roman" w:hAnsi="Times New Roman"/>
          <w:sz w:val="24"/>
          <w:szCs w:val="24"/>
        </w:rPr>
        <w:t>12. Закона.</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sz w:val="24"/>
          <w:szCs w:val="24"/>
        </w:rPr>
        <w:t>Одредбом члана 3</w:t>
      </w:r>
      <w:r>
        <w:rPr>
          <w:rFonts w:ascii="Times New Roman" w:hAnsi="Times New Roman"/>
          <w:sz w:val="24"/>
          <w:szCs w:val="24"/>
        </w:rPr>
        <w:t>.</w:t>
      </w:r>
      <w:r w:rsidRPr="00D20567">
        <w:rPr>
          <w:rFonts w:ascii="Times New Roman" w:hAnsi="Times New Roman"/>
          <w:sz w:val="24"/>
          <w:szCs w:val="24"/>
        </w:rPr>
        <w:t xml:space="preserve"> Закона прописана су кривична дела за која поступају државни органи надлежни за сузбијање организованог криминала и тероризма, и то су, у првом реду, кривична дела из члана 2. тач. 1), 2) и 5) Закона. С друге стране, када се ради о поступању државних органа надлежних за сузбијање организованог криминала у погледу кривичних дела против службене дужности, одлучујући услов за успостављање надлежности је субјективног карактера и тиче се својства извршиоца, односно потребно је да се ради о изабраном, именованом или постављеном лицу, док је код кривичних дела против привреде прописан одлучујући услов објективног карактера који се тиче преласка постављеног имовинског цензуса. За остварену имовинску корист релевантна је вредност преко 200.000.000 динара, односно преко 800.000.000 за када је у питању вредност јавне набавке. И на крају што се тиче кривичних дела против државних органа односно против правосуђа, државни органи надлежни за сузбијање организованог криминала поступаће уколико су иста извршена у вези са делима из тач. 1) до 3) тог члана, а за кривично дело прања новца у случају када имовина која је предмет прања новца потиче из тач. 1) до 4) тог члана.</w:t>
      </w:r>
    </w:p>
    <w:p w:rsidR="001251F2" w:rsidRPr="00D20567" w:rsidRDefault="001251F2" w:rsidP="00AC0246">
      <w:pPr>
        <w:spacing w:after="0"/>
        <w:ind w:firstLine="720"/>
        <w:jc w:val="both"/>
        <w:rPr>
          <w:rFonts w:ascii="Times New Roman" w:hAnsi="Times New Roman"/>
          <w:sz w:val="24"/>
          <w:szCs w:val="24"/>
        </w:rPr>
      </w:pPr>
      <w:r w:rsidRPr="00D20567">
        <w:rPr>
          <w:rFonts w:ascii="Times New Roman" w:hAnsi="Times New Roman"/>
          <w:sz w:val="24"/>
          <w:szCs w:val="24"/>
        </w:rPr>
        <w:t xml:space="preserve">Одредбом члана 4. Закона прописан је круг државних органа надлежних за поступање у предметима кривичних дела организованог криминала и тероризма </w:t>
      </w:r>
      <w:r>
        <w:rPr>
          <w:rFonts w:ascii="Times New Roman" w:hAnsi="Times New Roman"/>
          <w:sz w:val="24"/>
          <w:szCs w:val="24"/>
        </w:rPr>
        <w:t>наведених у члану 3, а то су</w:t>
      </w:r>
      <w:r w:rsidRPr="00D20567">
        <w:rPr>
          <w:rFonts w:ascii="Times New Roman" w:hAnsi="Times New Roman"/>
          <w:sz w:val="24"/>
          <w:szCs w:val="24"/>
        </w:rPr>
        <w:t xml:space="preserve">: Тужилаштво за организовани криминал, </w:t>
      </w:r>
      <w:r>
        <w:rPr>
          <w:rFonts w:ascii="Times New Roman" w:hAnsi="Times New Roman"/>
          <w:sz w:val="24"/>
          <w:szCs w:val="24"/>
        </w:rPr>
        <w:t>Министарство унутрашњих послова</w:t>
      </w:r>
      <w:r w:rsidRPr="00D20567">
        <w:rPr>
          <w:rFonts w:ascii="Times New Roman" w:hAnsi="Times New Roman"/>
          <w:sz w:val="24"/>
          <w:szCs w:val="24"/>
        </w:rPr>
        <w:t xml:space="preserve"> </w:t>
      </w:r>
      <w:r w:rsidRPr="00D20567">
        <w:rPr>
          <w:rFonts w:ascii="Tahoma" w:hAnsi="Tahoma" w:cs="Tahoma"/>
          <w:sz w:val="24"/>
          <w:szCs w:val="24"/>
        </w:rPr>
        <w:t>̶</w:t>
      </w:r>
      <w:r w:rsidRPr="00D20567">
        <w:rPr>
          <w:rFonts w:ascii="Times New Roman" w:hAnsi="Times New Roman"/>
          <w:sz w:val="24"/>
          <w:szCs w:val="24"/>
        </w:rPr>
        <w:t xml:space="preserve"> организациона јединица надлежна за сузбијање организованог криминала, Посебно одељење Вишег суда у Београду за организовани криминал, Посебно одељење Апелационог суда у Београду за организовани криминал, као и Посебна притворска јединица Окружног затвора у Београду. </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sz w:val="24"/>
          <w:szCs w:val="24"/>
        </w:rPr>
        <w:t xml:space="preserve">Надлежност и руковођење Тужилаштвом за организовани криминал, као и посебна стручна знања и искуство на основу којих кандидат остварује предност приликом предлагања за Тужиоца за организовани криминал, односно његовог заменика прописани су одредбом члана 5. Закона. </w:t>
      </w:r>
    </w:p>
    <w:p w:rsidR="001251F2" w:rsidRPr="00D20567" w:rsidRDefault="001251F2" w:rsidP="00D02C33">
      <w:pPr>
        <w:pStyle w:val="NoSpacing"/>
        <w:ind w:firstLine="720"/>
        <w:jc w:val="both"/>
        <w:rPr>
          <w:rFonts w:ascii="Times New Roman" w:hAnsi="Times New Roman"/>
          <w:bCs/>
          <w:sz w:val="24"/>
          <w:szCs w:val="24"/>
        </w:rPr>
      </w:pPr>
      <w:r w:rsidRPr="00D20567">
        <w:rPr>
          <w:rFonts w:ascii="Times New Roman" w:hAnsi="Times New Roman"/>
          <w:sz w:val="24"/>
          <w:szCs w:val="24"/>
        </w:rPr>
        <w:t>Организациона јединица надлежна за сузбијање организованог криминала у Министарства унутрашњих послова надлежна је за обављање полицијских послова у вези са кривичним делима из члана 3. Закона</w:t>
      </w:r>
      <w:r w:rsidRPr="00D20567">
        <w:rPr>
          <w:rFonts w:ascii="Times New Roman" w:hAnsi="Times New Roman"/>
          <w:bCs/>
          <w:sz w:val="24"/>
          <w:szCs w:val="24"/>
        </w:rPr>
        <w:t xml:space="preserve">. Старешину ове </w:t>
      </w:r>
      <w:r>
        <w:rPr>
          <w:rFonts w:ascii="Times New Roman" w:hAnsi="Times New Roman"/>
          <w:bCs/>
          <w:sz w:val="24"/>
          <w:szCs w:val="24"/>
        </w:rPr>
        <w:t>организационе јединице</w:t>
      </w:r>
      <w:r w:rsidRPr="00D20567">
        <w:rPr>
          <w:rFonts w:ascii="Times New Roman" w:hAnsi="Times New Roman"/>
          <w:bCs/>
          <w:sz w:val="24"/>
          <w:szCs w:val="24"/>
        </w:rPr>
        <w:t xml:space="preserve"> поставља и разрешава министар надлежан за унутрашње послове уз прибављено мишљење Тужиоца за организовани криминал. </w:t>
      </w:r>
    </w:p>
    <w:p w:rsidR="001251F2" w:rsidRPr="00D20567" w:rsidRDefault="001251F2" w:rsidP="00D3225C">
      <w:pPr>
        <w:pStyle w:val="NoSpacing"/>
        <w:ind w:firstLine="720"/>
        <w:jc w:val="both"/>
        <w:rPr>
          <w:rFonts w:ascii="Times New Roman" w:hAnsi="Times New Roman"/>
          <w:bCs/>
          <w:sz w:val="24"/>
          <w:szCs w:val="24"/>
        </w:rPr>
      </w:pPr>
      <w:r w:rsidRPr="00D20567">
        <w:rPr>
          <w:rFonts w:ascii="Times New Roman" w:hAnsi="Times New Roman"/>
          <w:bCs/>
          <w:sz w:val="24"/>
          <w:szCs w:val="24"/>
        </w:rPr>
        <w:t xml:space="preserve">Одредбом члана 7. Закона прописано је да је Виши суд у Београду, надлежан у првом степену за територију Републике Србије, за суђење у поступцима за кривична дела наведена у члану 3. Закона, при чему надлежност Вишег суда врши </w:t>
      </w:r>
      <w:r w:rsidRPr="00D20567">
        <w:rPr>
          <w:rFonts w:ascii="Times New Roman" w:hAnsi="Times New Roman"/>
          <w:sz w:val="24"/>
          <w:szCs w:val="24"/>
        </w:rPr>
        <w:t>Посебно одељење Вишег суда у Београду за организовани криминал.</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sz w:val="24"/>
          <w:szCs w:val="24"/>
        </w:rPr>
        <w:t>Истим чланом прописано је да посебним одељењем руководи председник одељења којег поставља председник Вишег суда у</w:t>
      </w:r>
      <w:r>
        <w:rPr>
          <w:rFonts w:ascii="Times New Roman" w:hAnsi="Times New Roman"/>
          <w:sz w:val="24"/>
          <w:szCs w:val="24"/>
        </w:rPr>
        <w:t xml:space="preserve"> Београду, на прописани период,</w:t>
      </w:r>
      <w:r w:rsidRPr="00D20567">
        <w:rPr>
          <w:rFonts w:ascii="Times New Roman" w:hAnsi="Times New Roman"/>
          <w:sz w:val="24"/>
          <w:szCs w:val="24"/>
        </w:rPr>
        <w:t xml:space="preserve"> водећи рачуна о услову који се тиче дужине трајања професионалног искуства у области кривичног права. Дужина трајања професионалног искуства у наведеној области постоји као услов и код распоређивања судија у Посебно одељење, а судије се као и председник одељења, распоређују у Посебно одељење на одређени период. И код распоређивања и код упућивања у Посебно одељење, водило се рачуна о начелу непремостивости судије, што значи да је постојање писмене сагласности судије који се распоређује, односно упућује, обавезно.</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sz w:val="24"/>
          <w:szCs w:val="24"/>
        </w:rPr>
        <w:t xml:space="preserve"> За разлику од заменика јавног тужиоца чије </w:t>
      </w:r>
      <w:r>
        <w:rPr>
          <w:rFonts w:ascii="Times New Roman" w:hAnsi="Times New Roman"/>
          <w:sz w:val="24"/>
          <w:szCs w:val="24"/>
        </w:rPr>
        <w:t>упу</w:t>
      </w:r>
      <w:r w:rsidRPr="00D20567">
        <w:rPr>
          <w:rFonts w:ascii="Times New Roman" w:hAnsi="Times New Roman"/>
          <w:sz w:val="24"/>
          <w:szCs w:val="24"/>
        </w:rPr>
        <w:t xml:space="preserve">ћивање у Тужилаштво за организовани криминал након истека максималног периода трајања може бити продужено, та могућност за судију упућеног у Посебно одељење Вишег суда у Београду за организовани криминал није предвиђена. Са друге стране, </w:t>
      </w:r>
      <w:r>
        <w:rPr>
          <w:rFonts w:ascii="Times New Roman" w:hAnsi="Times New Roman"/>
          <w:sz w:val="24"/>
          <w:szCs w:val="24"/>
        </w:rPr>
        <w:t xml:space="preserve">и овде се као и код предлагања </w:t>
      </w:r>
      <w:r w:rsidRPr="00D20567">
        <w:rPr>
          <w:rFonts w:ascii="Times New Roman" w:hAnsi="Times New Roman"/>
          <w:sz w:val="24"/>
          <w:szCs w:val="24"/>
        </w:rPr>
        <w:t>Тужиоца за организовани криминал, односно његовог заменика, предност приликом распоређивања, односно упућивања даје судијама које поседују потребна стручна знања и искуство из области борбе против организованог криминала и корупције.</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bCs/>
          <w:sz w:val="24"/>
          <w:szCs w:val="24"/>
        </w:rPr>
        <w:t xml:space="preserve">Одредбом члана 8. Закона прописано је да је Апелациони суд у Београду, надлежан у другом степену за територију Републике Србије, за суђење у поступцима за кривична дела наведена у члану 3. Закона, при чему надлежност Апелационог суда врши </w:t>
      </w:r>
      <w:r>
        <w:rPr>
          <w:rFonts w:ascii="Times New Roman" w:hAnsi="Times New Roman"/>
          <w:sz w:val="24"/>
          <w:szCs w:val="24"/>
        </w:rPr>
        <w:t>Посебно одељење Апелационог</w:t>
      </w:r>
      <w:r w:rsidRPr="00D20567">
        <w:rPr>
          <w:rFonts w:ascii="Times New Roman" w:hAnsi="Times New Roman"/>
          <w:sz w:val="24"/>
          <w:szCs w:val="24"/>
        </w:rPr>
        <w:t xml:space="preserve"> суда у Београду за организовани криминал. Сва питања која се тичу руковођења предметним одељењем, као и питања распоређивања и упућивања, односно квалификација на основу којих судија остварује предност, идентична су правилима одређеним за Посебно одељење Вишег суда у Београду за организовани криминал.</w:t>
      </w:r>
    </w:p>
    <w:p w:rsidR="001251F2" w:rsidRPr="00D20567" w:rsidRDefault="001251F2" w:rsidP="008C23AB">
      <w:pPr>
        <w:spacing w:after="0"/>
        <w:ind w:firstLine="720"/>
        <w:jc w:val="both"/>
        <w:rPr>
          <w:rFonts w:ascii="Times New Roman" w:hAnsi="Times New Roman"/>
          <w:sz w:val="24"/>
          <w:szCs w:val="24"/>
        </w:rPr>
      </w:pPr>
      <w:r w:rsidRPr="00D20567">
        <w:rPr>
          <w:rFonts w:ascii="Times New Roman" w:hAnsi="Times New Roman"/>
          <w:sz w:val="24"/>
          <w:szCs w:val="24"/>
        </w:rPr>
        <w:t xml:space="preserve">Уколико је поступајући суд одредио притвор, као једну од мера за обезбеђење присуства окривљеног и несметано вођење кривичног поступка, према лицу за које постоји основана сумња да је починио кривично дело из члана 3.  Закона, одредбом члана 10. Закона прописано је да се исти издржава </w:t>
      </w:r>
      <w:r>
        <w:rPr>
          <w:rFonts w:ascii="Times New Roman" w:hAnsi="Times New Roman"/>
          <w:sz w:val="24"/>
          <w:szCs w:val="24"/>
        </w:rPr>
        <w:t>у Посебној притворској јединици</w:t>
      </w:r>
      <w:r w:rsidRPr="00D20567">
        <w:rPr>
          <w:rFonts w:ascii="Times New Roman" w:hAnsi="Times New Roman"/>
          <w:sz w:val="24"/>
          <w:szCs w:val="24"/>
        </w:rPr>
        <w:t xml:space="preserve"> Окружног затвора у Београду. </w:t>
      </w:r>
    </w:p>
    <w:p w:rsidR="001251F2" w:rsidRPr="00D20567" w:rsidRDefault="001251F2" w:rsidP="00723AAC">
      <w:pPr>
        <w:pStyle w:val="NoSpacing"/>
        <w:ind w:firstLine="720"/>
        <w:jc w:val="both"/>
        <w:rPr>
          <w:rFonts w:ascii="Times New Roman" w:hAnsi="Times New Roman"/>
          <w:sz w:val="24"/>
          <w:szCs w:val="24"/>
        </w:rPr>
      </w:pPr>
      <w:r w:rsidRPr="00D20567">
        <w:rPr>
          <w:rFonts w:ascii="Times New Roman" w:hAnsi="Times New Roman"/>
          <w:sz w:val="24"/>
          <w:szCs w:val="24"/>
        </w:rPr>
        <w:t>У погледу максималног износа плате коју могу остварити запослени у државним органима надлежним за поступање у предметима кривичних дела организованог криминала и тероризма задржано је решење предвиђено у важећем закону, а исто важи и за прописано право судиjа рaспoрeђeних у пoсeбнo oдeљeњe Вишeг судa за организовани криминал, пoсeбнo oдeљeњe Aпeлaциoнoг судa за организовани криминал, као и Tужиоца и њeгoве зaмeнике, на стаж осигурања са увећеним трајањем.</w:t>
      </w:r>
    </w:p>
    <w:p w:rsidR="001251F2" w:rsidRPr="00D20567" w:rsidRDefault="001251F2" w:rsidP="00FA547E">
      <w:pPr>
        <w:pStyle w:val="NoSpacing"/>
        <w:ind w:firstLine="720"/>
        <w:jc w:val="both"/>
        <w:rPr>
          <w:rFonts w:ascii="Times New Roman" w:hAnsi="Times New Roman"/>
          <w:sz w:val="24"/>
          <w:szCs w:val="24"/>
        </w:rPr>
      </w:pPr>
      <w:r w:rsidRPr="00D20567">
        <w:rPr>
          <w:rFonts w:ascii="Times New Roman" w:hAnsi="Times New Roman"/>
          <w:sz w:val="24"/>
          <w:szCs w:val="24"/>
        </w:rPr>
        <w:t xml:space="preserve">Глава III. Закона уређује организацију и надлежност државних органа у сузбијању корупције. Чланом 13. Закона прописано је да су посебна одељења виших јавних тужилаштава за сузбијање корупције, Министарство унутрашњих послова  </w:t>
      </w:r>
      <w:r w:rsidRPr="00D20567">
        <w:rPr>
          <w:rFonts w:ascii="Tahoma" w:hAnsi="Tahoma" w:cs="Tahoma"/>
          <w:sz w:val="24"/>
          <w:szCs w:val="24"/>
        </w:rPr>
        <w:t>̶</w:t>
      </w:r>
      <w:r w:rsidRPr="00D20567">
        <w:rPr>
          <w:rFonts w:ascii="Times New Roman" w:hAnsi="Times New Roman"/>
          <w:sz w:val="24"/>
          <w:szCs w:val="24"/>
        </w:rPr>
        <w:t xml:space="preserve">  организациона јединица надлежна за сузбијање корупције и посебна одељења виших судова за сузбијање корупције надлежни за поступање у кривичним делима из члана 2. Закона. Дакле, за поступање у предметима из члана 13. Закона оснивају се четири центра, у виду посебних одељења Виших тужилаштава на територији четири Апелациона јавна тужилаштва, односно посебна одељења виших тужилаштава</w:t>
      </w:r>
      <w:r>
        <w:rPr>
          <w:rFonts w:ascii="Times New Roman" w:hAnsi="Times New Roman"/>
          <w:iCs/>
          <w:sz w:val="24"/>
          <w:szCs w:val="24"/>
        </w:rPr>
        <w:t xml:space="preserve"> у Београду, Краљеву</w:t>
      </w:r>
      <w:r w:rsidRPr="00D20567">
        <w:rPr>
          <w:rFonts w:ascii="Times New Roman" w:hAnsi="Times New Roman"/>
          <w:iCs/>
          <w:sz w:val="24"/>
          <w:szCs w:val="24"/>
        </w:rPr>
        <w:t>, Нишу и Новом Саду</w:t>
      </w:r>
      <w:r w:rsidRPr="00D20567">
        <w:rPr>
          <w:rFonts w:ascii="Times New Roman" w:hAnsi="Times New Roman"/>
          <w:sz w:val="24"/>
          <w:szCs w:val="24"/>
        </w:rPr>
        <w:t xml:space="preserve"> за сузбијање корупције.</w:t>
      </w:r>
    </w:p>
    <w:p w:rsidR="001251F2" w:rsidRPr="00D20567" w:rsidRDefault="001251F2" w:rsidP="00846E5D">
      <w:pPr>
        <w:pStyle w:val="NoSpacing"/>
        <w:ind w:firstLine="720"/>
        <w:jc w:val="both"/>
        <w:rPr>
          <w:rFonts w:ascii="Times New Roman" w:hAnsi="Times New Roman"/>
          <w:sz w:val="24"/>
          <w:szCs w:val="24"/>
        </w:rPr>
      </w:pPr>
      <w:r w:rsidRPr="00D20567">
        <w:rPr>
          <w:rFonts w:ascii="Times New Roman" w:hAnsi="Times New Roman"/>
          <w:sz w:val="24"/>
          <w:szCs w:val="24"/>
        </w:rPr>
        <w:t>Руковођење радом посебног одељења вишег јавног тужилаштва уређено је одредбом члана 15. Закона, а руков</w:t>
      </w:r>
      <w:r>
        <w:rPr>
          <w:rFonts w:ascii="Times New Roman" w:hAnsi="Times New Roman"/>
          <w:sz w:val="24"/>
          <w:szCs w:val="24"/>
        </w:rPr>
        <w:t>о</w:t>
      </w:r>
      <w:r w:rsidRPr="00D20567">
        <w:rPr>
          <w:rFonts w:ascii="Times New Roman" w:hAnsi="Times New Roman"/>
          <w:sz w:val="24"/>
          <w:szCs w:val="24"/>
        </w:rPr>
        <w:t>ђење радом Посебног одељења вишег суда за сузбијање корупције уређено је одредбом члана 18. Закона</w:t>
      </w:r>
    </w:p>
    <w:p w:rsidR="001251F2" w:rsidRDefault="001251F2" w:rsidP="00FA547E">
      <w:pPr>
        <w:pStyle w:val="NoSpacing"/>
        <w:ind w:firstLine="720"/>
        <w:jc w:val="both"/>
        <w:rPr>
          <w:rFonts w:ascii="Times New Roman" w:hAnsi="Times New Roman"/>
          <w:iCs/>
          <w:sz w:val="24"/>
          <w:szCs w:val="24"/>
        </w:rPr>
      </w:pPr>
      <w:r w:rsidRPr="00D20567">
        <w:rPr>
          <w:rFonts w:ascii="Times New Roman" w:hAnsi="Times New Roman"/>
          <w:sz w:val="24"/>
          <w:szCs w:val="24"/>
        </w:rPr>
        <w:t xml:space="preserve">Чланом 16. Закона предвиђено је </w:t>
      </w:r>
      <w:r>
        <w:rPr>
          <w:rFonts w:ascii="Times New Roman" w:hAnsi="Times New Roman"/>
          <w:sz w:val="24"/>
          <w:szCs w:val="24"/>
        </w:rPr>
        <w:t>да полицијске послове у вези са кривичним делима из члана 13. Закона обављати Министарство унутрашњих послова – организациона једини</w:t>
      </w:r>
      <w:r w:rsidRPr="00D20567">
        <w:rPr>
          <w:rFonts w:ascii="Times New Roman" w:hAnsi="Times New Roman"/>
          <w:sz w:val="24"/>
          <w:szCs w:val="24"/>
        </w:rPr>
        <w:t>ца надлежна за сузбијање корупције</w:t>
      </w:r>
      <w:r>
        <w:rPr>
          <w:rFonts w:ascii="Times New Roman" w:hAnsi="Times New Roman"/>
          <w:sz w:val="24"/>
          <w:szCs w:val="24"/>
        </w:rPr>
        <w:t xml:space="preserve"> и то тако што ће се у оквиру предметне организационе јединице одредити по један полицијски службеник који ће имати улогу координатора надлежних јединица полиције.</w:t>
      </w:r>
    </w:p>
    <w:p w:rsidR="001251F2" w:rsidRPr="00D20567" w:rsidRDefault="001251F2" w:rsidP="00FF28C1">
      <w:pPr>
        <w:pStyle w:val="NoSpacing"/>
        <w:ind w:firstLine="720"/>
        <w:jc w:val="both"/>
        <w:rPr>
          <w:rFonts w:ascii="Times New Roman" w:hAnsi="Times New Roman"/>
          <w:sz w:val="24"/>
          <w:szCs w:val="24"/>
        </w:rPr>
      </w:pPr>
      <w:r w:rsidRPr="00D20567">
        <w:rPr>
          <w:rFonts w:ascii="Times New Roman" w:hAnsi="Times New Roman"/>
          <w:sz w:val="24"/>
          <w:szCs w:val="24"/>
        </w:rPr>
        <w:t>Како је један од основих циљева који се жели постићи применом овог закона јачање капацитета јавног тужилаштва, односно обезбеђивање адекватних ресурса јавног тужилаштва и судова за поступање у случајевима корупције, овим Законом се први пут уводи појам финансијске форензике, као мултидисциплинарне области која обједињује сва економска знања. Одредбом члана 19. Закона прописана је могућност образовања службе финансијске форензике. Финансијски</w:t>
      </w:r>
      <w:r>
        <w:rPr>
          <w:rFonts w:ascii="Times New Roman" w:hAnsi="Times New Roman"/>
          <w:sz w:val="24"/>
          <w:szCs w:val="24"/>
        </w:rPr>
        <w:t xml:space="preserve"> форензичар ј</w:t>
      </w:r>
      <w:r w:rsidRPr="00D20567">
        <w:rPr>
          <w:rFonts w:ascii="Times New Roman" w:hAnsi="Times New Roman"/>
          <w:sz w:val="24"/>
          <w:szCs w:val="24"/>
        </w:rPr>
        <w:t>е лице које помаже јавном тужиоцу у анализи токова новца и фин</w:t>
      </w:r>
      <w:r>
        <w:rPr>
          <w:rFonts w:ascii="Times New Roman" w:hAnsi="Times New Roman"/>
          <w:sz w:val="24"/>
          <w:szCs w:val="24"/>
        </w:rPr>
        <w:t>ан</w:t>
      </w:r>
      <w:r w:rsidRPr="00D20567">
        <w:rPr>
          <w:rFonts w:ascii="Times New Roman" w:hAnsi="Times New Roman"/>
          <w:sz w:val="24"/>
          <w:szCs w:val="24"/>
        </w:rPr>
        <w:t xml:space="preserve">сијских трансакција у циљу кривичног гоњења, </w:t>
      </w:r>
      <w:r>
        <w:rPr>
          <w:rFonts w:ascii="Times New Roman" w:hAnsi="Times New Roman"/>
          <w:sz w:val="24"/>
          <w:szCs w:val="24"/>
        </w:rPr>
        <w:t>а</w:t>
      </w:r>
      <w:r w:rsidRPr="00D20567">
        <w:rPr>
          <w:rFonts w:ascii="Times New Roman" w:hAnsi="Times New Roman"/>
          <w:sz w:val="24"/>
          <w:szCs w:val="24"/>
        </w:rPr>
        <w:t xml:space="preserve"> које поседује посебна знања из области финансија, рачуноводства, ревизије, банкарског,  бе</w:t>
      </w:r>
      <w:r>
        <w:rPr>
          <w:rFonts w:ascii="Times New Roman" w:hAnsi="Times New Roman"/>
          <w:sz w:val="24"/>
          <w:szCs w:val="24"/>
        </w:rPr>
        <w:t>рзанског и привредног пословања и</w:t>
      </w:r>
      <w:r w:rsidRPr="00D20567">
        <w:rPr>
          <w:rFonts w:ascii="Times New Roman" w:hAnsi="Times New Roman"/>
          <w:sz w:val="24"/>
          <w:szCs w:val="24"/>
        </w:rPr>
        <w:t xml:space="preserve"> које је завршило специјализовану обуку у Правосудној акедимији из области кривичног права. Што се тиче питања начина пријема финансијских форензичара у јавна тужилаштва и начина провере поседовања посебних знања, предвиђено је да се питања ближе уредити актом Републичког јавног тужиоца. </w:t>
      </w:r>
    </w:p>
    <w:p w:rsidR="001251F2" w:rsidRPr="00D20567" w:rsidRDefault="001251F2" w:rsidP="00E6341E">
      <w:pPr>
        <w:pStyle w:val="NoSpacing"/>
        <w:ind w:firstLine="720"/>
        <w:jc w:val="both"/>
        <w:rPr>
          <w:rFonts w:ascii="Times New Roman" w:hAnsi="Times New Roman"/>
          <w:iCs/>
          <w:sz w:val="24"/>
          <w:szCs w:val="24"/>
        </w:rPr>
      </w:pPr>
      <w:r w:rsidRPr="00D20567">
        <w:rPr>
          <w:rFonts w:ascii="Times New Roman" w:hAnsi="Times New Roman"/>
          <w:sz w:val="24"/>
          <w:szCs w:val="24"/>
        </w:rPr>
        <w:t xml:space="preserve">Глава V.  Закона уређује </w:t>
      </w:r>
      <w:r w:rsidRPr="00D20567">
        <w:rPr>
          <w:rFonts w:ascii="Times New Roman" w:hAnsi="Times New Roman"/>
          <w:color w:val="000000"/>
          <w:sz w:val="24"/>
          <w:szCs w:val="24"/>
        </w:rPr>
        <w:t>унапређени систем сарадње репресивних са другим државним органима кроз новине у виду увођења службеника за везу и ударних група. Круг државних органа и организација који су дужни да одреде службенике за везу</w:t>
      </w:r>
      <w:r w:rsidRPr="00D20567">
        <w:rPr>
          <w:rFonts w:ascii="Times New Roman" w:hAnsi="Times New Roman"/>
          <w:iCs/>
          <w:sz w:val="24"/>
          <w:szCs w:val="24"/>
        </w:rPr>
        <w:t xml:space="preserve"> ради остваривања сарадње и ефикаснијег достављања података тих органа и организација Тужилаштву за организовани криминал и посебних одељења виших јавних тужилаштва, таксативно је одређен одредбом члана 20. Закона. Дужност одређивања службеника за везу може постојати и код других државних органа и организација који нису таксативно наведени, уколико такав захтев постави надлежни јавни тужилац. Прописана је могућност</w:t>
      </w:r>
      <w:r>
        <w:rPr>
          <w:rFonts w:ascii="Times New Roman" w:hAnsi="Times New Roman"/>
          <w:iCs/>
          <w:sz w:val="24"/>
          <w:szCs w:val="24"/>
        </w:rPr>
        <w:t xml:space="preserve"> привремено преместити</w:t>
      </w:r>
      <w:r w:rsidRPr="00D20567">
        <w:rPr>
          <w:rFonts w:ascii="Times New Roman" w:hAnsi="Times New Roman"/>
          <w:iCs/>
          <w:sz w:val="24"/>
          <w:szCs w:val="24"/>
        </w:rPr>
        <w:t xml:space="preserve"> службеника за везу у Тужилаштво за организовани криминал и посебно одељење вишег јавног тужилаштва за сузбијање корупције, а све на захтев надлежног јавног тужиоца. </w:t>
      </w:r>
    </w:p>
    <w:p w:rsidR="001251F2" w:rsidRPr="00D20567" w:rsidRDefault="001251F2" w:rsidP="0089527E">
      <w:pPr>
        <w:pStyle w:val="NoSpacing"/>
        <w:ind w:firstLine="720"/>
        <w:jc w:val="both"/>
        <w:rPr>
          <w:rFonts w:ascii="Times New Roman" w:hAnsi="Times New Roman"/>
          <w:color w:val="000000"/>
          <w:sz w:val="24"/>
          <w:szCs w:val="24"/>
        </w:rPr>
      </w:pPr>
      <w:r w:rsidRPr="00D20567">
        <w:rPr>
          <w:rFonts w:ascii="Times New Roman" w:hAnsi="Times New Roman"/>
          <w:color w:val="000000"/>
          <w:sz w:val="24"/>
          <w:szCs w:val="24"/>
        </w:rPr>
        <w:t>С друге стране, поред горе наведеног механизма који омогућава ефикасну хоризонтал</w:t>
      </w:r>
      <w:r>
        <w:rPr>
          <w:rFonts w:ascii="Times New Roman" w:hAnsi="Times New Roman"/>
          <w:color w:val="000000"/>
          <w:sz w:val="24"/>
          <w:szCs w:val="24"/>
        </w:rPr>
        <w:t>н</w:t>
      </w:r>
      <w:r w:rsidRPr="00D20567">
        <w:rPr>
          <w:rFonts w:ascii="Times New Roman" w:hAnsi="Times New Roman"/>
          <w:color w:val="000000"/>
          <w:sz w:val="24"/>
          <w:szCs w:val="24"/>
        </w:rPr>
        <w:t xml:space="preserve">у и вертикалну сарадњу репресивних органа са другим државним органима, инситуцијама, регулаторним и надзорним телима, Закон прописује могућност оснивања још једног напредног алата за разрешење нарочито сложених питања. У питању су ударне групе оформљене ради остварења заједничкoг циља, у чији састав улазе стручњаци различитих профила, све у зависности од области траженог деловања. Њихов рад и постојање је временски органичено, те се исцрпљује реализацијом задатака ради којих су оформљене. Образовање ударне групе, руковођење </w:t>
      </w:r>
      <w:r>
        <w:rPr>
          <w:rFonts w:ascii="Times New Roman" w:hAnsi="Times New Roman"/>
          <w:color w:val="000000"/>
          <w:sz w:val="24"/>
          <w:szCs w:val="24"/>
        </w:rPr>
        <w:t>групом и њен</w:t>
      </w:r>
      <w:r w:rsidRPr="00D20567">
        <w:rPr>
          <w:rFonts w:ascii="Times New Roman" w:hAnsi="Times New Roman"/>
          <w:color w:val="000000"/>
          <w:sz w:val="24"/>
          <w:szCs w:val="24"/>
        </w:rPr>
        <w:t xml:space="preserve"> састав уређени су у чл. 21. до 23. Закона.</w:t>
      </w:r>
    </w:p>
    <w:p w:rsidR="001251F2" w:rsidRPr="00D20567" w:rsidRDefault="001251F2" w:rsidP="00D769C5">
      <w:pPr>
        <w:pStyle w:val="NoSpacing"/>
        <w:ind w:firstLine="720"/>
        <w:jc w:val="both"/>
        <w:rPr>
          <w:rFonts w:ascii="Times New Roman" w:hAnsi="Times New Roman"/>
          <w:color w:val="000000"/>
          <w:sz w:val="24"/>
          <w:szCs w:val="24"/>
        </w:rPr>
      </w:pPr>
      <w:r>
        <w:rPr>
          <w:rFonts w:ascii="Times New Roman" w:hAnsi="Times New Roman"/>
          <w:color w:val="000000"/>
          <w:sz w:val="24"/>
          <w:szCs w:val="24"/>
        </w:rPr>
        <w:t>У циљу о</w:t>
      </w:r>
      <w:r>
        <w:rPr>
          <w:rFonts w:ascii="Times New Roman" w:hAnsi="Times New Roman"/>
          <w:color w:val="000000"/>
          <w:sz w:val="24"/>
          <w:szCs w:val="24"/>
          <w:lang w:val="sr-Cyrl-CS"/>
        </w:rPr>
        <w:t>б</w:t>
      </w:r>
      <w:r w:rsidRPr="00D20567">
        <w:rPr>
          <w:rFonts w:ascii="Times New Roman" w:hAnsi="Times New Roman"/>
          <w:color w:val="000000"/>
          <w:sz w:val="24"/>
          <w:szCs w:val="24"/>
        </w:rPr>
        <w:t xml:space="preserve">езбеђивања континуираног усавршавања </w:t>
      </w:r>
      <w:r w:rsidRPr="00D20567">
        <w:rPr>
          <w:rFonts w:ascii="Times New Roman" w:hAnsi="Times New Roman"/>
          <w:sz w:val="24"/>
          <w:szCs w:val="24"/>
        </w:rPr>
        <w:t>носилаца правосудних функциј</w:t>
      </w:r>
      <w:r w:rsidRPr="00D20567">
        <w:rPr>
          <w:rFonts w:ascii="Times New Roman" w:hAnsi="Times New Roman"/>
          <w:color w:val="000000"/>
          <w:sz w:val="24"/>
          <w:szCs w:val="24"/>
        </w:rPr>
        <w:t>а и припадника полиције, одредбом члана 24. Закона прописана је дужност  похађања сталне обуке коју организује Правосудна ак</w:t>
      </w:r>
      <w:r>
        <w:rPr>
          <w:rFonts w:ascii="Times New Roman" w:hAnsi="Times New Roman"/>
          <w:color w:val="000000"/>
          <w:sz w:val="24"/>
          <w:szCs w:val="24"/>
        </w:rPr>
        <w:t>адемија било самостално било у сарадњи са другим институцијама.</w:t>
      </w:r>
    </w:p>
    <w:p w:rsidR="001251F2" w:rsidRPr="00D20567" w:rsidRDefault="001251F2" w:rsidP="002D0D2A">
      <w:pPr>
        <w:pStyle w:val="NoSpacing"/>
        <w:ind w:firstLine="720"/>
        <w:jc w:val="both"/>
        <w:rPr>
          <w:rFonts w:ascii="Times New Roman" w:hAnsi="Times New Roman"/>
          <w:noProof/>
          <w:sz w:val="24"/>
          <w:szCs w:val="24"/>
        </w:rPr>
      </w:pPr>
      <w:r w:rsidRPr="00D20567">
        <w:rPr>
          <w:rFonts w:ascii="Times New Roman" w:hAnsi="Times New Roman"/>
          <w:sz w:val="24"/>
          <w:szCs w:val="24"/>
        </w:rPr>
        <w:t xml:space="preserve">Лица која врше функцију, односно обављају послове и задатке у државним органима и посебним организационим јединицама из чл. 4. и 13. Закона подлежу провери имовног стања и безбедоносној провери. </w:t>
      </w:r>
      <w:r w:rsidRPr="00D20567">
        <w:rPr>
          <w:rFonts w:ascii="Times New Roman" w:hAnsi="Times New Roman"/>
          <w:noProof/>
          <w:sz w:val="24"/>
          <w:szCs w:val="24"/>
        </w:rPr>
        <w:t xml:space="preserve">Закон не установљава искључиво проверу имовног стања само </w:t>
      </w:r>
      <w:r w:rsidRPr="00D20567">
        <w:rPr>
          <w:rFonts w:ascii="Times New Roman" w:hAnsi="Times New Roman"/>
          <w:sz w:val="24"/>
          <w:szCs w:val="24"/>
        </w:rPr>
        <w:t>лица која врше функцију, односно обављају послове и задатке у државним органима и посебним организационим јединицама из чл. 4. и 13. Закона</w:t>
      </w:r>
      <w:r w:rsidRPr="00D20567">
        <w:rPr>
          <w:rFonts w:ascii="Times New Roman" w:hAnsi="Times New Roman"/>
          <w:noProof/>
          <w:sz w:val="24"/>
          <w:szCs w:val="24"/>
        </w:rPr>
        <w:t xml:space="preserve">, већ и проверу имовног стања повезаних лица. </w:t>
      </w:r>
      <w:r w:rsidRPr="00D20567">
        <w:rPr>
          <w:rFonts w:ascii="Times New Roman" w:hAnsi="Times New Roman"/>
          <w:sz w:val="24"/>
          <w:szCs w:val="24"/>
        </w:rPr>
        <w:t>Под провером имовног стања подразумева се обавеза достављања потпуних и тачних података о имовини, пре ступања на фу</w:t>
      </w:r>
      <w:r>
        <w:rPr>
          <w:rFonts w:ascii="Times New Roman" w:hAnsi="Times New Roman"/>
          <w:sz w:val="24"/>
          <w:szCs w:val="24"/>
        </w:rPr>
        <w:t>нкцију односно рад, при чему се</w:t>
      </w:r>
      <w:r w:rsidRPr="00D20567">
        <w:rPr>
          <w:rFonts w:ascii="Times New Roman" w:hAnsi="Times New Roman"/>
          <w:sz w:val="24"/>
          <w:szCs w:val="24"/>
        </w:rPr>
        <w:t xml:space="preserve">, као што је наведено, ова обавеза простире и на податке о имовини повезаних лица, односно </w:t>
      </w:r>
      <w:r>
        <w:rPr>
          <w:rFonts w:ascii="Times New Roman" w:hAnsi="Times New Roman"/>
          <w:sz w:val="24"/>
          <w:szCs w:val="24"/>
        </w:rPr>
        <w:t>супружника или ванбрачног партнера</w:t>
      </w:r>
      <w:r w:rsidRPr="00D20567">
        <w:rPr>
          <w:rFonts w:ascii="Times New Roman" w:hAnsi="Times New Roman"/>
          <w:sz w:val="24"/>
          <w:szCs w:val="24"/>
        </w:rPr>
        <w:t xml:space="preserve">, </w:t>
      </w:r>
      <w:r>
        <w:rPr>
          <w:rFonts w:ascii="Times New Roman" w:hAnsi="Times New Roman"/>
          <w:sz w:val="24"/>
          <w:szCs w:val="24"/>
        </w:rPr>
        <w:t>као и малолетне деце уколико живе у истом породочном домаћинству</w:t>
      </w:r>
      <w:r w:rsidRPr="00D20567">
        <w:rPr>
          <w:rFonts w:ascii="Times New Roman" w:hAnsi="Times New Roman"/>
          <w:sz w:val="24"/>
          <w:szCs w:val="24"/>
        </w:rPr>
        <w:t>. С друге стране, министарство надлежно за унутрашње послове и Безбедносно-информативна агенција могу обавити безбедоносн</w:t>
      </w:r>
      <w:r>
        <w:rPr>
          <w:rFonts w:ascii="Times New Roman" w:hAnsi="Times New Roman"/>
          <w:sz w:val="24"/>
          <w:szCs w:val="24"/>
        </w:rPr>
        <w:t>о</w:t>
      </w:r>
      <w:r w:rsidRPr="00D20567">
        <w:rPr>
          <w:rFonts w:ascii="Times New Roman" w:hAnsi="Times New Roman"/>
          <w:sz w:val="24"/>
          <w:szCs w:val="24"/>
        </w:rPr>
        <w:t xml:space="preserve"> про</w:t>
      </w:r>
      <w:r>
        <w:rPr>
          <w:rFonts w:ascii="Times New Roman" w:hAnsi="Times New Roman"/>
          <w:sz w:val="24"/>
          <w:szCs w:val="24"/>
        </w:rPr>
        <w:t>веравање</w:t>
      </w:r>
      <w:r w:rsidRPr="00D20567">
        <w:rPr>
          <w:rFonts w:ascii="Times New Roman" w:hAnsi="Times New Roman"/>
          <w:sz w:val="24"/>
          <w:szCs w:val="24"/>
        </w:rPr>
        <w:t xml:space="preserve"> лица која врше функцију, односно обављају послове и задатке у државним органима и посебним организационим јединицама из чл. 4. и 13. Закона, без њиховог знања и то пре ступања на рад, односно функцију, током вршења функције, односно обављања послова, као и годину дана по престанку вршења функције, односно обављања послова.</w:t>
      </w:r>
    </w:p>
    <w:p w:rsidR="001251F2" w:rsidRPr="00D20567" w:rsidRDefault="001251F2" w:rsidP="00C83DDB">
      <w:pPr>
        <w:pStyle w:val="NoSpacing"/>
        <w:ind w:firstLine="720"/>
        <w:jc w:val="both"/>
        <w:rPr>
          <w:rFonts w:ascii="Times New Roman" w:hAnsi="Times New Roman"/>
          <w:sz w:val="24"/>
          <w:szCs w:val="24"/>
        </w:rPr>
      </w:pPr>
      <w:r w:rsidRPr="00D20567">
        <w:rPr>
          <w:rFonts w:ascii="Times New Roman" w:hAnsi="Times New Roman"/>
          <w:noProof/>
          <w:sz w:val="24"/>
          <w:szCs w:val="24"/>
        </w:rPr>
        <w:t>Посебна пажња посвећена је заштити података</w:t>
      </w:r>
      <w:r w:rsidRPr="00D20567">
        <w:rPr>
          <w:rFonts w:ascii="Times New Roman" w:hAnsi="Times New Roman"/>
          <w:color w:val="000000"/>
          <w:sz w:val="24"/>
          <w:szCs w:val="24"/>
        </w:rPr>
        <w:t xml:space="preserve">, те је због сложености предмета и опасности од ометања рада надлежних државних органа, </w:t>
      </w:r>
      <w:r w:rsidRPr="00D20567">
        <w:rPr>
          <w:rFonts w:ascii="Times New Roman" w:hAnsi="Times New Roman"/>
          <w:noProof/>
          <w:sz w:val="24"/>
          <w:szCs w:val="24"/>
        </w:rPr>
        <w:t xml:space="preserve">императивном одредбом </w:t>
      </w:r>
      <w:r w:rsidRPr="00D20567">
        <w:rPr>
          <w:rFonts w:ascii="Times New Roman" w:hAnsi="Times New Roman"/>
          <w:color w:val="000000"/>
          <w:sz w:val="24"/>
          <w:szCs w:val="24"/>
        </w:rPr>
        <w:t xml:space="preserve">члана 27. Закона прописано да су </w:t>
      </w:r>
      <w:r w:rsidRPr="00D20567">
        <w:rPr>
          <w:rFonts w:ascii="Times New Roman" w:hAnsi="Times New Roman"/>
          <w:sz w:val="24"/>
          <w:szCs w:val="24"/>
        </w:rPr>
        <w:t xml:space="preserve">сва лица која извршавају послове и задатке у оквиру надлежности државних органа у сузбијању кривичних дела из члана 2. Закона, дужна да податке и сазнања до којих дођу приликом обављања тих послова и задатака чувају као тајне податке, у складу са прописима који уређују тајност података, као и да се без одобрења надлежног јавног тужиоца не могу јавно износити подаци из предистражног поступка и истраге у поступцима за кривична дела из члана 2. Закона.  </w:t>
      </w:r>
    </w:p>
    <w:p w:rsidR="001251F2" w:rsidRPr="00D20567" w:rsidRDefault="001251F2" w:rsidP="001C0E4D">
      <w:pPr>
        <w:pStyle w:val="NoSpacing"/>
        <w:ind w:firstLine="720"/>
        <w:jc w:val="both"/>
        <w:rPr>
          <w:rFonts w:ascii="Times New Roman" w:hAnsi="Times New Roman"/>
          <w:sz w:val="24"/>
          <w:szCs w:val="24"/>
        </w:rPr>
      </w:pPr>
      <w:r w:rsidRPr="00D20567">
        <w:rPr>
          <w:rFonts w:ascii="Times New Roman" w:hAnsi="Times New Roman"/>
          <w:noProof/>
          <w:sz w:val="24"/>
          <w:szCs w:val="24"/>
        </w:rPr>
        <w:t xml:space="preserve">У Глави </w:t>
      </w:r>
      <w:r w:rsidRPr="00D20567">
        <w:rPr>
          <w:rFonts w:ascii="Times New Roman" w:hAnsi="Times New Roman"/>
          <w:sz w:val="24"/>
          <w:szCs w:val="24"/>
        </w:rPr>
        <w:t>IX.</w:t>
      </w:r>
      <w:r w:rsidRPr="00D20567">
        <w:rPr>
          <w:rFonts w:ascii="Times New Roman" w:hAnsi="Times New Roman"/>
          <w:noProof/>
          <w:sz w:val="24"/>
          <w:szCs w:val="24"/>
        </w:rPr>
        <w:t xml:space="preserve"> Закона - Прелазне </w:t>
      </w:r>
      <w:r>
        <w:rPr>
          <w:rFonts w:ascii="Times New Roman" w:hAnsi="Times New Roman"/>
          <w:noProof/>
          <w:sz w:val="24"/>
          <w:szCs w:val="24"/>
        </w:rPr>
        <w:t>и завршне одредбе (чл. 28. до 33</w:t>
      </w:r>
      <w:r w:rsidRPr="00D20567">
        <w:rPr>
          <w:rFonts w:ascii="Times New Roman" w:hAnsi="Times New Roman"/>
          <w:noProof/>
          <w:sz w:val="24"/>
          <w:szCs w:val="24"/>
        </w:rPr>
        <w:t>) уређен</w:t>
      </w:r>
      <w:r w:rsidRPr="00D20567">
        <w:rPr>
          <w:rFonts w:ascii="Times New Roman" w:hAnsi="Times New Roman"/>
          <w:sz w:val="24"/>
          <w:szCs w:val="24"/>
        </w:rPr>
        <w:t xml:space="preserve"> је наставак рада постојећих органа и почетак рада нових органа који се Законом образују, </w:t>
      </w:r>
      <w:r>
        <w:rPr>
          <w:rFonts w:ascii="Times New Roman" w:hAnsi="Times New Roman"/>
          <w:sz w:val="24"/>
          <w:szCs w:val="24"/>
        </w:rPr>
        <w:t xml:space="preserve">прецизирана примена закона у односу на надлежности служби безбедности, </w:t>
      </w:r>
      <w:r w:rsidRPr="00D20567">
        <w:rPr>
          <w:rFonts w:ascii="Times New Roman" w:hAnsi="Times New Roman"/>
          <w:sz w:val="24"/>
          <w:szCs w:val="24"/>
        </w:rPr>
        <w:t>окончање започетих поступака, рок за доношење подзаконских прописа,  а такође је одређено да  даном почетка примене Закона престаје да важи Закон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w:t>
      </w:r>
    </w:p>
    <w:p w:rsidR="001251F2" w:rsidRPr="00D20567" w:rsidRDefault="001251F2" w:rsidP="001C0E4D">
      <w:pPr>
        <w:pStyle w:val="NoSpacing"/>
        <w:ind w:firstLine="720"/>
        <w:jc w:val="both"/>
        <w:rPr>
          <w:rFonts w:ascii="Times New Roman" w:hAnsi="Times New Roman"/>
          <w:sz w:val="24"/>
          <w:szCs w:val="24"/>
        </w:rPr>
      </w:pPr>
      <w:r w:rsidRPr="00D20567">
        <w:rPr>
          <w:rFonts w:ascii="Times New Roman" w:hAnsi="Times New Roman"/>
          <w:sz w:val="24"/>
          <w:szCs w:val="24"/>
        </w:rPr>
        <w:t>Имајући у виду време потребно за успостављање нове организационе структуре репресивних органа з</w:t>
      </w:r>
      <w:r>
        <w:rPr>
          <w:rFonts w:ascii="Times New Roman" w:hAnsi="Times New Roman"/>
          <w:sz w:val="24"/>
          <w:szCs w:val="24"/>
        </w:rPr>
        <w:t>авршном одредбом члана 33</w:t>
      </w:r>
      <w:r w:rsidRPr="00D20567">
        <w:rPr>
          <w:rFonts w:ascii="Times New Roman" w:hAnsi="Times New Roman"/>
          <w:sz w:val="24"/>
          <w:szCs w:val="24"/>
        </w:rPr>
        <w:t xml:space="preserve">. Закона нужно је одређен </w:t>
      </w:r>
      <w:r w:rsidRPr="00D20567">
        <w:rPr>
          <w:rFonts w:ascii="Times New Roman" w:hAnsi="Times New Roman"/>
          <w:i/>
          <w:sz w:val="24"/>
          <w:szCs w:val="24"/>
        </w:rPr>
        <w:t xml:space="preserve">vacatio legis, </w:t>
      </w:r>
      <w:r w:rsidRPr="00D20567">
        <w:rPr>
          <w:rFonts w:ascii="Times New Roman" w:hAnsi="Times New Roman"/>
          <w:sz w:val="24"/>
          <w:szCs w:val="24"/>
        </w:rPr>
        <w:t xml:space="preserve">те је прописано да закон почиње да се примењује </w:t>
      </w:r>
      <w:r>
        <w:rPr>
          <w:rFonts w:ascii="Times New Roman" w:hAnsi="Times New Roman"/>
          <w:sz w:val="24"/>
          <w:szCs w:val="24"/>
        </w:rPr>
        <w:t>1. марта 2018. године</w:t>
      </w:r>
      <w:r w:rsidRPr="00D20567">
        <w:rPr>
          <w:rFonts w:ascii="Times New Roman" w:hAnsi="Times New Roman"/>
          <w:sz w:val="24"/>
          <w:szCs w:val="24"/>
        </w:rPr>
        <w:t>.</w:t>
      </w:r>
    </w:p>
    <w:p w:rsidR="001251F2" w:rsidRPr="00D20567" w:rsidRDefault="001251F2" w:rsidP="0029442F">
      <w:pPr>
        <w:pStyle w:val="NoSpacing"/>
        <w:jc w:val="both"/>
        <w:rPr>
          <w:rFonts w:ascii="Times New Roman" w:hAnsi="Times New Roman"/>
          <w:sz w:val="24"/>
          <w:szCs w:val="24"/>
        </w:rPr>
      </w:pPr>
    </w:p>
    <w:p w:rsidR="001251F2" w:rsidRPr="00D20567" w:rsidRDefault="001251F2" w:rsidP="0029442F">
      <w:pPr>
        <w:pStyle w:val="NoSpacing"/>
        <w:jc w:val="both"/>
        <w:rPr>
          <w:rFonts w:ascii="Times New Roman" w:hAnsi="Times New Roman"/>
          <w:sz w:val="24"/>
          <w:szCs w:val="24"/>
        </w:rPr>
      </w:pPr>
    </w:p>
    <w:p w:rsidR="001251F2" w:rsidRPr="00D20567" w:rsidRDefault="001251F2" w:rsidP="00C51157">
      <w:pPr>
        <w:spacing w:after="0" w:line="240" w:lineRule="auto"/>
        <w:ind w:firstLine="720"/>
        <w:jc w:val="both"/>
        <w:rPr>
          <w:rFonts w:ascii="Times New Roman" w:hAnsi="Times New Roman"/>
          <w:b/>
          <w:sz w:val="24"/>
          <w:szCs w:val="24"/>
        </w:rPr>
      </w:pPr>
      <w:r w:rsidRPr="00D20567">
        <w:rPr>
          <w:rFonts w:ascii="Times New Roman" w:hAnsi="Times New Roman"/>
          <w:b/>
          <w:sz w:val="24"/>
          <w:szCs w:val="24"/>
        </w:rPr>
        <w:t>IV. ФИНАНСИЈСКА СРЕДСТВА ПОТРЕБНА ЗА ПРИМЕНУ ЗАКОНА</w:t>
      </w:r>
    </w:p>
    <w:p w:rsidR="001251F2" w:rsidRPr="00D20567" w:rsidRDefault="001251F2" w:rsidP="00C51157">
      <w:pPr>
        <w:spacing w:after="0" w:line="240" w:lineRule="auto"/>
        <w:ind w:firstLine="720"/>
        <w:jc w:val="both"/>
        <w:rPr>
          <w:rFonts w:ascii="Times New Roman" w:hAnsi="Times New Roman"/>
          <w:b/>
          <w:sz w:val="24"/>
          <w:szCs w:val="24"/>
        </w:rPr>
      </w:pPr>
      <w:r w:rsidRPr="00D20567">
        <w:rPr>
          <w:rFonts w:ascii="Times New Roman" w:hAnsi="Times New Roman"/>
          <w:b/>
          <w:sz w:val="24"/>
          <w:szCs w:val="24"/>
        </w:rPr>
        <w:t xml:space="preserve">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За спровођење овог закона потребно је обезбедити одређена додатна средства у буџету Републике Србије, почев од</w:t>
      </w:r>
      <w:r>
        <w:rPr>
          <w:rFonts w:ascii="Times New Roman" w:hAnsi="Times New Roman"/>
          <w:sz w:val="24"/>
          <w:szCs w:val="24"/>
        </w:rPr>
        <w:t xml:space="preserve"> 2018 године, када је планирана</w:t>
      </w:r>
      <w:r w:rsidRPr="008F1106">
        <w:rPr>
          <w:rFonts w:ascii="Times New Roman" w:hAnsi="Times New Roman"/>
          <w:sz w:val="24"/>
          <w:szCs w:val="24"/>
        </w:rPr>
        <w:t xml:space="preserve"> примена овог закона.</w:t>
      </w:r>
    </w:p>
    <w:p w:rsidR="001251F2" w:rsidRPr="008F1106" w:rsidRDefault="001251F2" w:rsidP="008F1106">
      <w:pPr>
        <w:pStyle w:val="NoSpacing"/>
        <w:ind w:firstLine="720"/>
        <w:jc w:val="both"/>
        <w:rPr>
          <w:rFonts w:ascii="Times New Roman" w:hAnsi="Times New Roman"/>
          <w:sz w:val="24"/>
          <w:szCs w:val="24"/>
        </w:rPr>
      </w:pPr>
      <w:r>
        <w:rPr>
          <w:rFonts w:ascii="Times New Roman" w:hAnsi="Times New Roman"/>
          <w:sz w:val="24"/>
          <w:szCs w:val="24"/>
        </w:rPr>
        <w:t>Процена потребних додатних</w:t>
      </w:r>
      <w:r w:rsidRPr="008F1106">
        <w:rPr>
          <w:rFonts w:ascii="Times New Roman" w:hAnsi="Times New Roman"/>
          <w:sz w:val="24"/>
          <w:szCs w:val="24"/>
        </w:rPr>
        <w:t xml:space="preserve"> средстава извршена је на основу следећих квалитативних елемената (описних елемената) за буџетирање:</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Kao полазнa основa је коришћена посебно израђена  Анализа </w:t>
      </w:r>
      <w:r w:rsidRPr="008F1106">
        <w:rPr>
          <w:rFonts w:ascii="Times New Roman" w:hAnsi="Times New Roman"/>
          <w:sz w:val="24"/>
          <w:szCs w:val="24"/>
          <w:lang w:eastAsia="sr-Latn-CS"/>
        </w:rPr>
        <w:t xml:space="preserve">организационе структуре, капацитета и овлашћења државних органа у борби против организованог криминала и корупције, са посебним освртом на </w:t>
      </w:r>
      <w:r w:rsidRPr="008F1106">
        <w:rPr>
          <w:rFonts w:ascii="Times New Roman" w:hAnsi="Times New Roman"/>
          <w:sz w:val="24"/>
          <w:szCs w:val="24"/>
        </w:rPr>
        <w:t>кривична дела са коруптивним елементом,  која су прописана Кривичним закоником. На</w:t>
      </w:r>
      <w:r w:rsidRPr="008F1106">
        <w:rPr>
          <w:rFonts w:ascii="Times New Roman" w:hAnsi="Times New Roman"/>
          <w:sz w:val="24"/>
          <w:szCs w:val="24"/>
          <w:lang w:eastAsia="sr-Latn-CS"/>
        </w:rPr>
        <w:t xml:space="preserve"> основу</w:t>
      </w:r>
      <w:r w:rsidRPr="008F1106">
        <w:rPr>
          <w:rFonts w:ascii="Times New Roman" w:hAnsi="Times New Roman"/>
          <w:b/>
          <w:sz w:val="24"/>
          <w:szCs w:val="24"/>
        </w:rPr>
        <w:t xml:space="preserve"> </w:t>
      </w:r>
      <w:r w:rsidRPr="008F1106">
        <w:rPr>
          <w:rFonts w:ascii="Times New Roman" w:hAnsi="Times New Roman"/>
          <w:sz w:val="24"/>
          <w:szCs w:val="24"/>
        </w:rPr>
        <w:t>броја коруптивних предмета и лица у основним и вишим јавним тужилаштвима са подручја сва четири апелациона јавна тужилаштва (подаци за 2014. годину), као и Тужилаштва за организовани криминал, стања оптерећености заменика јавног тужиоца у Вишем јавном тужилаштву у Београду, Новом Саду, Крагујевцу и Нишу, Првом основном јавном тужилаштву у Београду, Основном јавном тужилаштву у Новом Саду, Крагујевцу и Нишу, броју пријављених лица за коруптивна кривична дела која би могла прећи из подручних основних и виших јавних тужилаштва у надлежност четири нова одељења за борбу против корупције, те броју пријављених лица за коруптивна кривична дела у раду у Вишем јавном тужилаштву у Београду, Новом Саду, Крагујевцу и Нишу, Првом основном јавном тужилаштву у Београду, Основном јавном тужилаштву у Новом Саду, Краљеву и Нишу, према новој надлежности, утврђена је процена потребних ресурса и одговарајући обим буџетских средстава, као и њихова динамика реализације по годин</w:t>
      </w:r>
      <w:r>
        <w:rPr>
          <w:rFonts w:ascii="Times New Roman" w:hAnsi="Times New Roman"/>
          <w:sz w:val="24"/>
          <w:szCs w:val="24"/>
        </w:rPr>
        <w:t xml:space="preserve">ама у периоду од 2018. до 2021. </w:t>
      </w:r>
      <w:r w:rsidRPr="008F1106">
        <w:rPr>
          <w:rFonts w:ascii="Times New Roman" w:hAnsi="Times New Roman"/>
          <w:sz w:val="24"/>
          <w:szCs w:val="24"/>
        </w:rPr>
        <w:t>године.</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На основу прика</w:t>
      </w:r>
      <w:r>
        <w:rPr>
          <w:rFonts w:ascii="Times New Roman" w:hAnsi="Times New Roman"/>
          <w:sz w:val="24"/>
          <w:szCs w:val="24"/>
        </w:rPr>
        <w:t xml:space="preserve">заних података из ове анализе, </w:t>
      </w:r>
      <w:r w:rsidRPr="008F1106">
        <w:rPr>
          <w:rFonts w:ascii="Times New Roman" w:hAnsi="Times New Roman"/>
          <w:sz w:val="24"/>
          <w:szCs w:val="24"/>
        </w:rPr>
        <w:t>припремљен је финансијски аспект образложења овог закона.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lang w:eastAsia="sr-Latn-CS"/>
        </w:rPr>
        <w:t xml:space="preserve">При процени обима потребних људских ресурса за  </w:t>
      </w:r>
      <w:r w:rsidRPr="008F1106">
        <w:rPr>
          <w:rFonts w:ascii="Times New Roman" w:hAnsi="Times New Roman"/>
          <w:sz w:val="24"/>
          <w:szCs w:val="24"/>
        </w:rPr>
        <w:t>поступање у предметима из члана 13.</w:t>
      </w:r>
      <w:r>
        <w:rPr>
          <w:rFonts w:ascii="Times New Roman" w:hAnsi="Times New Roman"/>
          <w:sz w:val="24"/>
          <w:szCs w:val="24"/>
        </w:rPr>
        <w:t xml:space="preserve"> </w:t>
      </w:r>
      <w:r w:rsidRPr="008F1106">
        <w:rPr>
          <w:rFonts w:ascii="Times New Roman" w:hAnsi="Times New Roman"/>
          <w:sz w:val="24"/>
          <w:szCs w:val="24"/>
        </w:rPr>
        <w:t xml:space="preserve">Закона, односно формирања четири центра за сузбијање корупције, </w:t>
      </w:r>
      <w:r w:rsidRPr="008F1106">
        <w:rPr>
          <w:rFonts w:ascii="Times New Roman" w:hAnsi="Times New Roman"/>
          <w:sz w:val="24"/>
          <w:szCs w:val="24"/>
          <w:lang w:eastAsia="sr-Latn-CS"/>
        </w:rPr>
        <w:t xml:space="preserve">неопходно је уважавање одређених претходних  </w:t>
      </w:r>
      <w:r w:rsidRPr="008F1106">
        <w:rPr>
          <w:rFonts w:ascii="Times New Roman" w:hAnsi="Times New Roman"/>
          <w:sz w:val="24"/>
          <w:szCs w:val="24"/>
        </w:rPr>
        <w:t>битних  чињеница, међу којима, нарочито: стање попуњености садашњих кадровских капацитета јавнотужилачке функције у Републици Србији, стање обима послова у овој области и његово повећавање,  финансијски аспект јавнотужилачке функције и  њен позитиван утицај на буџет, финансијски однос  буџетског улагања у повећање капацитета и остварење користи не само за јавнотужилачку функцију, већ и за буџет Србије, односно укупан јавни сектор, привреду и грађане Републике, а и билансне могућности буџета Републике Србије за издвајање средстава за ове намене.</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Како се ради о  основном циљу који се жели постићи применом овог закона, а то је  јачање капацитета јавног тужилаштва, односно обезбеђивање адекватних ресурса јавног тужилаштва и судова за поступање у случајевима корупције, овим Законом се први пут уводи и коришћење финансијске форензике, као мултидисциплинарне области која обједињује сва економска знања и подразумева неопходно ангажовање одређеног броја стручњака форензичке струке.</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lang w:val="sr-Cyrl-CS"/>
        </w:rPr>
        <w:t xml:space="preserve">Посебно важан елемент финансијског аспекта </w:t>
      </w:r>
      <w:r w:rsidRPr="008F1106">
        <w:rPr>
          <w:rFonts w:ascii="Times New Roman" w:hAnsi="Times New Roman"/>
          <w:sz w:val="24"/>
          <w:szCs w:val="24"/>
        </w:rPr>
        <w:t>јавнотужилачке функције у овом сегменту борбе против корупције су подаци  којима располаже Републичко јавно тужилаштво, а односе се на  укупан износ прибављене користи, причињене штете, односно финансијске користи и одузете имовине, финансијске штете, према којима се тај укупан износ, за 2015. годину и део 2016. године креће око цифре од  107 милијарди динара или 868,9 милиона €, са тенденцијом сталног повећавања, што се ближи износу од   око 1 милијарде € само за ове две године.</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Поређења ради, у Буџету Републике Србије за 2016. год</w:t>
      </w:r>
      <w:r>
        <w:rPr>
          <w:rFonts w:ascii="Times New Roman" w:hAnsi="Times New Roman"/>
          <w:sz w:val="24"/>
          <w:szCs w:val="24"/>
        </w:rPr>
        <w:t>ину близу  висине   ове цифре (</w:t>
      </w:r>
      <w:r w:rsidRPr="008F1106">
        <w:rPr>
          <w:rFonts w:ascii="Times New Roman" w:hAnsi="Times New Roman"/>
          <w:sz w:val="24"/>
          <w:szCs w:val="24"/>
        </w:rPr>
        <w:t xml:space="preserve">107 милијарди динара, колико је  евидентиран директан финансијски обухват јавнотужилачке функције у овом моменту),  су предвиђена средства за укупне субвенције привреди  у износу од  86 милијарди динара, или  овај износ (107 милијарди  динара) је скоро 3 пута већи  од годишњих прихода буџета од царине ( 35 милијарди динара), или овај износ  је већи од укупног прихода од ПДВ у земљи (91 милијарда динара), или  је  скоро 3 пута већи од свих трансфера општинама и градовима у </w:t>
      </w:r>
      <w:r>
        <w:rPr>
          <w:rFonts w:ascii="Times New Roman" w:hAnsi="Times New Roman"/>
          <w:sz w:val="24"/>
          <w:szCs w:val="24"/>
        </w:rPr>
        <w:t xml:space="preserve">Републици </w:t>
      </w:r>
      <w:r w:rsidRPr="008F1106">
        <w:rPr>
          <w:rFonts w:ascii="Times New Roman" w:hAnsi="Times New Roman"/>
          <w:sz w:val="24"/>
          <w:szCs w:val="24"/>
        </w:rPr>
        <w:t>Србији (33 милијарде динара) или укупна издвајања за сву социјалну заштиту из Буџета Републике Србије (дечија  заштита, борачко-инвалидска заштита, ученички  и студентски стандард, избегла и расељена лица, транзициони фонд, остала соц. заштита) су само за 9 милијарди мања од овог износа. Кад је у питању однос ове цифре (107 милијарди динара) и издатака за судство, на пример, ова цифра  је преко 5 пута већа издвајања за све судове  из буџета Републике за 2016. годину, која  су око 19 милијарди динара,  а овај износ (107 милијарди динара) је  око 27 пута већи  од  годишњих буџетских издатака за  јавна тужилаштва који су око 4 милијарде динара.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У односу на ову цифру укупног  износа прибављене користи, причињене штете, односно финансијске користи и одузете имовине, финансијске штете ( 107 милијарди динара, односно приближно 1 милијарде €),  са тенденцијом сталног повећавања, укупна издвајања на терет буџета Р</w:t>
      </w:r>
      <w:r>
        <w:rPr>
          <w:rFonts w:ascii="Times New Roman" w:hAnsi="Times New Roman"/>
          <w:sz w:val="24"/>
          <w:szCs w:val="24"/>
        </w:rPr>
        <w:t xml:space="preserve">епублике Србије за финансирање </w:t>
      </w:r>
      <w:r w:rsidRPr="008F1106">
        <w:rPr>
          <w:rFonts w:ascii="Times New Roman" w:hAnsi="Times New Roman"/>
          <w:sz w:val="24"/>
          <w:szCs w:val="24"/>
        </w:rPr>
        <w:t xml:space="preserve">људских ресурса и других трошкова неопходних за спровођење овог закона износе, и то: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 у 2018. години </w:t>
      </w:r>
      <w:r w:rsidRPr="008F1106">
        <w:rPr>
          <w:rFonts w:ascii="Times New Roman" w:hAnsi="Times New Roman"/>
          <w:color w:val="000000"/>
          <w:sz w:val="24"/>
          <w:szCs w:val="24"/>
        </w:rPr>
        <w:t xml:space="preserve">89.066.164 </w:t>
      </w:r>
      <w:r w:rsidRPr="008F1106">
        <w:rPr>
          <w:rFonts w:ascii="Times New Roman" w:hAnsi="Times New Roman"/>
          <w:sz w:val="24"/>
          <w:szCs w:val="24"/>
        </w:rPr>
        <w:t xml:space="preserve">динара ( </w:t>
      </w:r>
      <w:r w:rsidRPr="008F1106">
        <w:rPr>
          <w:rFonts w:ascii="Times New Roman" w:hAnsi="Times New Roman"/>
          <w:color w:val="000000"/>
          <w:sz w:val="24"/>
          <w:szCs w:val="24"/>
        </w:rPr>
        <w:t xml:space="preserve">724.115 </w:t>
      </w:r>
      <w:r w:rsidRPr="008F1106">
        <w:rPr>
          <w:rFonts w:ascii="Times New Roman" w:hAnsi="Times New Roman"/>
          <w:sz w:val="24"/>
          <w:szCs w:val="24"/>
        </w:rPr>
        <w:t>€</w:t>
      </w:r>
      <w:r w:rsidRPr="008F1106">
        <w:rPr>
          <w:rStyle w:val="FootnoteReference"/>
          <w:rFonts w:ascii="Times New Roman" w:hAnsi="Times New Roman"/>
          <w:sz w:val="24"/>
          <w:szCs w:val="24"/>
        </w:rPr>
        <w:footnoteReference w:id="1"/>
      </w:r>
      <w:r w:rsidRPr="008F1106">
        <w:rPr>
          <w:rFonts w:ascii="Times New Roman" w:hAnsi="Times New Roman"/>
          <w:sz w:val="24"/>
          <w:szCs w:val="24"/>
        </w:rPr>
        <w:t xml:space="preserve">);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 у 2019. години </w:t>
      </w:r>
      <w:r>
        <w:rPr>
          <w:rFonts w:ascii="Times New Roman" w:hAnsi="Times New Roman"/>
          <w:color w:val="000000"/>
          <w:sz w:val="24"/>
          <w:szCs w:val="24"/>
        </w:rPr>
        <w:t>131.801.244</w:t>
      </w:r>
      <w:r w:rsidRPr="008F1106">
        <w:rPr>
          <w:rFonts w:ascii="Times New Roman" w:hAnsi="Times New Roman"/>
          <w:color w:val="000000"/>
          <w:sz w:val="24"/>
          <w:szCs w:val="24"/>
        </w:rPr>
        <w:t xml:space="preserve"> </w:t>
      </w:r>
      <w:r w:rsidRPr="008F1106">
        <w:rPr>
          <w:rFonts w:ascii="Times New Roman" w:hAnsi="Times New Roman"/>
          <w:sz w:val="24"/>
          <w:szCs w:val="24"/>
        </w:rPr>
        <w:t>динара (</w:t>
      </w:r>
      <w:r w:rsidRPr="008F1106">
        <w:rPr>
          <w:rFonts w:ascii="Times New Roman" w:hAnsi="Times New Roman"/>
          <w:color w:val="000000"/>
          <w:sz w:val="24"/>
          <w:szCs w:val="24"/>
        </w:rPr>
        <w:t xml:space="preserve"> 1.071.555 </w:t>
      </w:r>
      <w:r w:rsidRPr="008F1106">
        <w:rPr>
          <w:rFonts w:ascii="Times New Roman" w:hAnsi="Times New Roman"/>
          <w:sz w:val="24"/>
          <w:szCs w:val="24"/>
        </w:rPr>
        <w:t>€), односно додатно 42.735.000 динара (</w:t>
      </w:r>
      <w:r w:rsidRPr="008F1106">
        <w:rPr>
          <w:rFonts w:ascii="Times New Roman" w:hAnsi="Times New Roman"/>
          <w:color w:val="000000"/>
          <w:sz w:val="24"/>
          <w:szCs w:val="24"/>
        </w:rPr>
        <w:t>347.440 €);</w:t>
      </w:r>
    </w:p>
    <w:p w:rsidR="001251F2" w:rsidRPr="008F1106" w:rsidRDefault="001251F2" w:rsidP="008F1106">
      <w:pPr>
        <w:pStyle w:val="NoSpacing"/>
        <w:ind w:firstLine="720"/>
        <w:jc w:val="both"/>
        <w:rPr>
          <w:rFonts w:ascii="Times New Roman" w:hAnsi="Times New Roman"/>
          <w:sz w:val="24"/>
          <w:szCs w:val="24"/>
        </w:rPr>
      </w:pPr>
      <w:r>
        <w:rPr>
          <w:rFonts w:ascii="Times New Roman" w:hAnsi="Times New Roman"/>
          <w:sz w:val="24"/>
          <w:szCs w:val="24"/>
        </w:rPr>
        <w:t xml:space="preserve">- </w:t>
      </w:r>
      <w:r w:rsidRPr="008F1106">
        <w:rPr>
          <w:rFonts w:ascii="Times New Roman" w:hAnsi="Times New Roman"/>
          <w:sz w:val="24"/>
          <w:szCs w:val="24"/>
        </w:rPr>
        <w:t xml:space="preserve">у 2020. години </w:t>
      </w:r>
      <w:r w:rsidRPr="008F1106">
        <w:rPr>
          <w:rFonts w:ascii="Times New Roman" w:hAnsi="Times New Roman"/>
          <w:color w:val="000000"/>
          <w:sz w:val="24"/>
          <w:szCs w:val="24"/>
        </w:rPr>
        <w:t xml:space="preserve">174.536.324 </w:t>
      </w:r>
      <w:r w:rsidRPr="008F1106">
        <w:rPr>
          <w:rFonts w:ascii="Times New Roman" w:hAnsi="Times New Roman"/>
          <w:bCs/>
          <w:color w:val="000000"/>
          <w:sz w:val="24"/>
          <w:szCs w:val="24"/>
        </w:rPr>
        <w:t>динара (</w:t>
      </w:r>
      <w:r w:rsidRPr="008F1106">
        <w:rPr>
          <w:rFonts w:ascii="Times New Roman" w:hAnsi="Times New Roman"/>
          <w:color w:val="000000"/>
          <w:sz w:val="24"/>
          <w:szCs w:val="24"/>
        </w:rPr>
        <w:t xml:space="preserve"> 1.418.995 €)</w:t>
      </w:r>
      <w:r w:rsidRPr="008F1106">
        <w:rPr>
          <w:rFonts w:ascii="Times New Roman" w:hAnsi="Times New Roman"/>
          <w:bCs/>
          <w:color w:val="000000"/>
          <w:sz w:val="24"/>
          <w:szCs w:val="24"/>
        </w:rPr>
        <w:t xml:space="preserve">, </w:t>
      </w:r>
      <w:r w:rsidRPr="008F1106">
        <w:rPr>
          <w:rFonts w:ascii="Times New Roman" w:hAnsi="Times New Roman"/>
          <w:sz w:val="24"/>
          <w:szCs w:val="24"/>
        </w:rPr>
        <w:t>односно додатно 42.735.000 динара (</w:t>
      </w:r>
      <w:r w:rsidRPr="008F1106">
        <w:rPr>
          <w:rFonts w:ascii="Times New Roman" w:hAnsi="Times New Roman"/>
          <w:color w:val="000000"/>
          <w:sz w:val="24"/>
          <w:szCs w:val="24"/>
        </w:rPr>
        <w:t>347.440 €),</w:t>
      </w:r>
      <w:r w:rsidRPr="008F1106">
        <w:rPr>
          <w:rFonts w:ascii="Times New Roman" w:hAnsi="Times New Roman"/>
          <w:sz w:val="24"/>
          <w:szCs w:val="24"/>
        </w:rPr>
        <w:t xml:space="preserve"> </w:t>
      </w:r>
      <w:r w:rsidRPr="008F1106">
        <w:rPr>
          <w:rFonts w:ascii="Times New Roman" w:hAnsi="Times New Roman"/>
          <w:bCs/>
          <w:color w:val="000000"/>
          <w:sz w:val="24"/>
          <w:szCs w:val="24"/>
        </w:rPr>
        <w:t>а</w:t>
      </w:r>
    </w:p>
    <w:p w:rsidR="001251F2" w:rsidRPr="008F1106" w:rsidRDefault="001251F2" w:rsidP="008F1106">
      <w:pPr>
        <w:pStyle w:val="NoSpacing"/>
        <w:ind w:firstLine="720"/>
        <w:jc w:val="both"/>
        <w:rPr>
          <w:rFonts w:ascii="Times New Roman" w:hAnsi="Times New Roman"/>
          <w:sz w:val="24"/>
          <w:szCs w:val="24"/>
        </w:rPr>
      </w:pPr>
      <w:r>
        <w:rPr>
          <w:rFonts w:ascii="Times New Roman" w:hAnsi="Times New Roman"/>
          <w:bCs/>
          <w:color w:val="000000"/>
          <w:sz w:val="24"/>
          <w:szCs w:val="24"/>
        </w:rPr>
        <w:t>-</w:t>
      </w:r>
      <w:r w:rsidRPr="008F1106">
        <w:rPr>
          <w:rFonts w:ascii="Times New Roman" w:hAnsi="Times New Roman"/>
          <w:bCs/>
          <w:color w:val="000000"/>
          <w:sz w:val="24"/>
          <w:szCs w:val="24"/>
        </w:rPr>
        <w:t xml:space="preserve"> у </w:t>
      </w:r>
      <w:r w:rsidRPr="008F1106">
        <w:rPr>
          <w:rFonts w:ascii="Times New Roman" w:hAnsi="Times New Roman"/>
          <w:sz w:val="24"/>
          <w:szCs w:val="24"/>
        </w:rPr>
        <w:t xml:space="preserve">2021. години </w:t>
      </w:r>
      <w:r w:rsidRPr="008F1106">
        <w:rPr>
          <w:rFonts w:ascii="Times New Roman" w:hAnsi="Times New Roman"/>
          <w:color w:val="000000"/>
          <w:sz w:val="24"/>
          <w:szCs w:val="24"/>
        </w:rPr>
        <w:t xml:space="preserve">217.271.404 </w:t>
      </w:r>
      <w:r w:rsidRPr="008F1106">
        <w:rPr>
          <w:rFonts w:ascii="Times New Roman" w:hAnsi="Times New Roman"/>
          <w:sz w:val="24"/>
          <w:szCs w:val="24"/>
        </w:rPr>
        <w:t>динара (</w:t>
      </w:r>
      <w:r w:rsidRPr="008F1106">
        <w:rPr>
          <w:rFonts w:ascii="Times New Roman" w:hAnsi="Times New Roman"/>
          <w:color w:val="000000"/>
          <w:sz w:val="24"/>
          <w:szCs w:val="24"/>
        </w:rPr>
        <w:t xml:space="preserve">1.766.434 </w:t>
      </w:r>
      <w:r w:rsidRPr="008F1106">
        <w:rPr>
          <w:rFonts w:ascii="Times New Roman" w:hAnsi="Times New Roman"/>
          <w:sz w:val="24"/>
          <w:szCs w:val="24"/>
        </w:rPr>
        <w:t>€) односно додатно 42.735.000 динара (</w:t>
      </w:r>
      <w:r w:rsidRPr="008F1106">
        <w:rPr>
          <w:rFonts w:ascii="Times New Roman" w:hAnsi="Times New Roman"/>
          <w:color w:val="000000"/>
          <w:sz w:val="24"/>
          <w:szCs w:val="24"/>
        </w:rPr>
        <w:t>347.440 €).</w:t>
      </w:r>
    </w:p>
    <w:p w:rsidR="001251F2" w:rsidRPr="00DF5F98" w:rsidRDefault="001251F2" w:rsidP="008F1106">
      <w:pPr>
        <w:pStyle w:val="NoSpacing"/>
        <w:ind w:firstLine="720"/>
        <w:jc w:val="both"/>
        <w:rPr>
          <w:rFonts w:ascii="Times New Roman" w:hAnsi="Times New Roman"/>
          <w:color w:val="000000"/>
          <w:sz w:val="24"/>
          <w:szCs w:val="24"/>
          <w:lang w:val="sr-Cyrl-CS"/>
        </w:rPr>
      </w:pPr>
      <w:r w:rsidRPr="008F1106">
        <w:rPr>
          <w:rFonts w:ascii="Times New Roman" w:hAnsi="Times New Roman"/>
          <w:sz w:val="24"/>
          <w:szCs w:val="24"/>
        </w:rPr>
        <w:t xml:space="preserve">Укупан износ расхода за  примену овог закона, према исказаним подацима је </w:t>
      </w:r>
      <w:r w:rsidRPr="008F1106">
        <w:rPr>
          <w:rFonts w:ascii="Times New Roman" w:hAnsi="Times New Roman"/>
          <w:color w:val="000000"/>
          <w:sz w:val="24"/>
          <w:szCs w:val="24"/>
        </w:rPr>
        <w:t xml:space="preserve">612.675.136 </w:t>
      </w:r>
      <w:r w:rsidRPr="008F1106">
        <w:rPr>
          <w:rFonts w:ascii="Times New Roman" w:hAnsi="Times New Roman"/>
          <w:sz w:val="24"/>
          <w:szCs w:val="24"/>
        </w:rPr>
        <w:t>динара (</w:t>
      </w:r>
      <w:r w:rsidRPr="008F1106">
        <w:rPr>
          <w:rFonts w:ascii="Times New Roman" w:hAnsi="Times New Roman"/>
          <w:color w:val="000000"/>
          <w:sz w:val="24"/>
          <w:szCs w:val="24"/>
        </w:rPr>
        <w:t xml:space="preserve">4.981.099 </w:t>
      </w:r>
      <w:r>
        <w:rPr>
          <w:rFonts w:ascii="Times New Roman" w:hAnsi="Times New Roman"/>
          <w:sz w:val="24"/>
          <w:szCs w:val="24"/>
        </w:rPr>
        <w:t xml:space="preserve">€), што је </w:t>
      </w:r>
      <w:r w:rsidRPr="008F1106">
        <w:rPr>
          <w:rFonts w:ascii="Times New Roman" w:hAnsi="Times New Roman"/>
          <w:sz w:val="24"/>
          <w:szCs w:val="24"/>
        </w:rPr>
        <w:t>око пола процента  (0,57%) од износа  од 107 милијарди динара (</w:t>
      </w:r>
      <w:r w:rsidRPr="008F1106">
        <w:rPr>
          <w:rFonts w:ascii="Times New Roman" w:hAnsi="Times New Roman"/>
          <w:color w:val="000000"/>
          <w:sz w:val="24"/>
          <w:szCs w:val="24"/>
        </w:rPr>
        <w:t>868.856.830,32 €)</w:t>
      </w:r>
      <w:r w:rsidRPr="008F1106">
        <w:rPr>
          <w:rFonts w:ascii="Times New Roman" w:hAnsi="Times New Roman"/>
          <w:sz w:val="24"/>
          <w:szCs w:val="24"/>
        </w:rPr>
        <w:t xml:space="preserve"> прибављене користи, причињене штете, односно финансијске користи и одузете имовине, финансијске штете за 2015. годину и део 2016. године у области организованог криминала и корупције</w:t>
      </w:r>
      <w:r>
        <w:rPr>
          <w:rFonts w:ascii="Times New Roman" w:hAnsi="Times New Roman"/>
          <w:color w:val="000000"/>
          <w:sz w:val="24"/>
          <w:szCs w:val="24"/>
        </w:rPr>
        <w:t xml:space="preserve">. </w:t>
      </w:r>
    </w:p>
    <w:p w:rsidR="001251F2" w:rsidRPr="00DF5F98" w:rsidRDefault="001251F2" w:rsidP="008F1106">
      <w:pPr>
        <w:pStyle w:val="NoSpacing"/>
        <w:ind w:firstLine="720"/>
        <w:jc w:val="both"/>
        <w:rPr>
          <w:rFonts w:ascii="Times New Roman" w:hAnsi="Times New Roman"/>
          <w:sz w:val="24"/>
          <w:szCs w:val="24"/>
          <w:lang w:val="sr-Cyrl-CS"/>
        </w:rPr>
      </w:pPr>
      <w:r w:rsidRPr="00DF5F98">
        <w:rPr>
          <w:rFonts w:ascii="Times New Roman" w:hAnsi="Times New Roman"/>
          <w:sz w:val="24"/>
          <w:szCs w:val="24"/>
          <w:lang w:val="sr-Cyrl-CS"/>
        </w:rPr>
        <w:t>Процена потребног броја заменика јавних тужилаца за формирање четири нова одељења и динамика њиховог попуњавањ</w:t>
      </w:r>
      <w:r>
        <w:rPr>
          <w:rFonts w:ascii="Times New Roman" w:hAnsi="Times New Roman"/>
          <w:sz w:val="24"/>
          <w:szCs w:val="24"/>
          <w:lang w:val="sr-Cyrl-CS"/>
        </w:rPr>
        <w:t xml:space="preserve">а, пројектована је и на основу </w:t>
      </w:r>
      <w:r w:rsidRPr="00DF5F98">
        <w:rPr>
          <w:rFonts w:ascii="Times New Roman" w:hAnsi="Times New Roman"/>
          <w:sz w:val="24"/>
          <w:szCs w:val="24"/>
          <w:lang w:val="sr-Cyrl-CS"/>
        </w:rPr>
        <w:t>укупног бро</w:t>
      </w:r>
      <w:r>
        <w:rPr>
          <w:rFonts w:ascii="Times New Roman" w:hAnsi="Times New Roman"/>
          <w:sz w:val="24"/>
          <w:szCs w:val="24"/>
          <w:lang w:val="sr-Cyrl-CS"/>
        </w:rPr>
        <w:t>ја лица у постојећим предметима</w:t>
      </w:r>
      <w:r w:rsidRPr="00DF5F98">
        <w:rPr>
          <w:rFonts w:ascii="Times New Roman" w:hAnsi="Times New Roman"/>
          <w:sz w:val="24"/>
          <w:szCs w:val="24"/>
          <w:lang w:val="sr-Cyrl-CS"/>
        </w:rPr>
        <w:t xml:space="preserve"> (22.957 лица), односно прен</w:t>
      </w:r>
      <w:r>
        <w:rPr>
          <w:rFonts w:ascii="Times New Roman" w:hAnsi="Times New Roman"/>
          <w:sz w:val="24"/>
          <w:szCs w:val="24"/>
          <w:lang w:val="sr-Cyrl-CS"/>
        </w:rPr>
        <w:t xml:space="preserve">оса надлежности и броја лица у </w:t>
      </w:r>
      <w:r w:rsidRPr="00DF5F98">
        <w:rPr>
          <w:rFonts w:ascii="Times New Roman" w:hAnsi="Times New Roman"/>
          <w:sz w:val="24"/>
          <w:szCs w:val="24"/>
          <w:lang w:val="sr-Cyrl-CS"/>
        </w:rPr>
        <w:t>нова четири одељења (преноси се укупно 12.779 лица или више од половине односно 55,7%  лица за процесуирање у новим одељењима).</w:t>
      </w:r>
    </w:p>
    <w:p w:rsidR="001251F2" w:rsidRPr="00DF5F98" w:rsidRDefault="001251F2" w:rsidP="008F1106">
      <w:pPr>
        <w:pStyle w:val="NoSpacing"/>
        <w:ind w:firstLine="720"/>
        <w:jc w:val="both"/>
        <w:rPr>
          <w:rFonts w:ascii="Times New Roman" w:hAnsi="Times New Roman"/>
          <w:sz w:val="24"/>
          <w:szCs w:val="24"/>
          <w:lang w:val="sr-Cyrl-CS"/>
        </w:rPr>
      </w:pPr>
      <w:r w:rsidRPr="00DF5F98">
        <w:rPr>
          <w:rFonts w:ascii="Times New Roman" w:hAnsi="Times New Roman"/>
          <w:sz w:val="24"/>
          <w:szCs w:val="24"/>
          <w:lang w:val="sr-Cyrl-CS"/>
        </w:rPr>
        <w:t>Уважавајући ограничени билансни простор Буџета Републике Србије, односно немогућност да у једној или две године обезбеди сва потребна финанијска средства, према процењеним приоритетима је предложена динамика обезбеђења потребних људских ресурса и то првенствено прерасподелом у оквиру постојећег броја заменика јавних тужилаца, као и пријемом нових заменика јавног тужиоца,  пријемом припадајућег броја стручних сарадника (на 2,5 заменика јавног тужиоца 1 стручни сарадник и на 2 заменика 1 записничар).</w:t>
      </w:r>
    </w:p>
    <w:p w:rsidR="001251F2" w:rsidRPr="00DF5F98" w:rsidRDefault="001251F2" w:rsidP="008F1106">
      <w:pPr>
        <w:pStyle w:val="NoSpacing"/>
        <w:jc w:val="both"/>
        <w:rPr>
          <w:rFonts w:ascii="Times New Roman" w:hAnsi="Times New Roman"/>
          <w:sz w:val="24"/>
          <w:szCs w:val="24"/>
          <w:lang w:val="sr-Cyrl-CS"/>
        </w:rPr>
      </w:pPr>
    </w:p>
    <w:p w:rsidR="001251F2" w:rsidRPr="008F1106" w:rsidRDefault="001251F2" w:rsidP="008F1106">
      <w:pPr>
        <w:pStyle w:val="NoSpacing"/>
        <w:ind w:firstLine="720"/>
        <w:jc w:val="both"/>
        <w:rPr>
          <w:rFonts w:ascii="Times New Roman" w:hAnsi="Times New Roman"/>
          <w:sz w:val="24"/>
          <w:szCs w:val="24"/>
        </w:rPr>
      </w:pPr>
      <w:r>
        <w:rPr>
          <w:rFonts w:ascii="Times New Roman" w:hAnsi="Times New Roman"/>
          <w:sz w:val="24"/>
          <w:szCs w:val="24"/>
        </w:rPr>
        <w:t xml:space="preserve">Процењене потребе </w:t>
      </w:r>
      <w:r w:rsidRPr="008F1106">
        <w:rPr>
          <w:rFonts w:ascii="Times New Roman" w:hAnsi="Times New Roman"/>
          <w:sz w:val="24"/>
          <w:szCs w:val="24"/>
        </w:rPr>
        <w:t>за људским ресурсима територијално по одељењима, у периоду 2018. до 2021. године су приказане у следећој табели: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686"/>
        <w:gridCol w:w="850"/>
        <w:gridCol w:w="993"/>
        <w:gridCol w:w="850"/>
        <w:gridCol w:w="851"/>
        <w:gridCol w:w="951"/>
      </w:tblGrid>
      <w:tr w:rsidR="001251F2" w:rsidRPr="00F31C9E" w:rsidTr="00495CC9">
        <w:trPr>
          <w:trHeight w:val="992"/>
        </w:trPr>
        <w:tc>
          <w:tcPr>
            <w:tcW w:w="675" w:type="dxa"/>
            <w:vMerge w:val="restart"/>
            <w:vAlign w:val="center"/>
          </w:tcPr>
          <w:p w:rsidR="001251F2" w:rsidRDefault="001251F2" w:rsidP="00495CC9">
            <w:pPr>
              <w:jc w:val="center"/>
              <w:rPr>
                <w:rFonts w:ascii="Times New Roman" w:hAnsi="Times New Roman"/>
                <w:sz w:val="24"/>
                <w:szCs w:val="24"/>
              </w:rPr>
            </w:pPr>
            <w:r w:rsidRPr="00F31C9E">
              <w:rPr>
                <w:rFonts w:ascii="Times New Roman" w:hAnsi="Times New Roman"/>
                <w:sz w:val="24"/>
                <w:szCs w:val="24"/>
              </w:rPr>
              <w:t>Р.</w:t>
            </w:r>
          </w:p>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бр.</w:t>
            </w:r>
          </w:p>
        </w:tc>
        <w:tc>
          <w:tcPr>
            <w:tcW w:w="3686" w:type="dxa"/>
            <w:vMerge w:val="restart"/>
            <w:vAlign w:val="center"/>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Назив апелације</w:t>
            </w:r>
          </w:p>
        </w:tc>
        <w:tc>
          <w:tcPr>
            <w:tcW w:w="4495" w:type="dxa"/>
            <w:gridSpan w:val="5"/>
            <w:vAlign w:val="center"/>
          </w:tcPr>
          <w:p w:rsidR="001251F2" w:rsidRPr="00CC0FAE" w:rsidRDefault="001251F2" w:rsidP="008D2CEF">
            <w:pPr>
              <w:jc w:val="center"/>
              <w:rPr>
                <w:rFonts w:ascii="Times New Roman" w:hAnsi="Times New Roman"/>
                <w:sz w:val="24"/>
                <w:szCs w:val="24"/>
              </w:rPr>
            </w:pPr>
            <w:r w:rsidRPr="00F31C9E">
              <w:rPr>
                <w:rFonts w:ascii="Times New Roman" w:hAnsi="Times New Roman"/>
                <w:sz w:val="24"/>
                <w:szCs w:val="24"/>
              </w:rPr>
              <w:t xml:space="preserve">Динамика и број </w:t>
            </w:r>
            <w:r>
              <w:rPr>
                <w:rFonts w:ascii="Times New Roman" w:hAnsi="Times New Roman"/>
                <w:sz w:val="24"/>
                <w:szCs w:val="24"/>
              </w:rPr>
              <w:t xml:space="preserve">потребног </w:t>
            </w:r>
            <w:r w:rsidRPr="00F31C9E">
              <w:rPr>
                <w:rFonts w:ascii="Times New Roman" w:hAnsi="Times New Roman"/>
                <w:sz w:val="24"/>
                <w:szCs w:val="24"/>
              </w:rPr>
              <w:t>особља у периоду 2018-2021.годин</w:t>
            </w:r>
            <w:r>
              <w:rPr>
                <w:rFonts w:ascii="Times New Roman" w:hAnsi="Times New Roman"/>
                <w:sz w:val="24"/>
                <w:szCs w:val="24"/>
              </w:rPr>
              <w:t>а</w:t>
            </w:r>
          </w:p>
        </w:tc>
      </w:tr>
      <w:tr w:rsidR="001251F2" w:rsidRPr="00F31C9E" w:rsidTr="00495CC9">
        <w:tc>
          <w:tcPr>
            <w:tcW w:w="675" w:type="dxa"/>
            <w:vMerge/>
          </w:tcPr>
          <w:p w:rsidR="001251F2" w:rsidRPr="00F31C9E" w:rsidRDefault="001251F2" w:rsidP="00495CC9">
            <w:pPr>
              <w:jc w:val="both"/>
              <w:rPr>
                <w:rFonts w:ascii="Times New Roman" w:hAnsi="Times New Roman"/>
                <w:sz w:val="24"/>
                <w:szCs w:val="24"/>
              </w:rPr>
            </w:pPr>
          </w:p>
        </w:tc>
        <w:tc>
          <w:tcPr>
            <w:tcW w:w="3686" w:type="dxa"/>
            <w:vMerge/>
          </w:tcPr>
          <w:p w:rsidR="001251F2" w:rsidRPr="00F31C9E" w:rsidRDefault="001251F2" w:rsidP="00495CC9">
            <w:pPr>
              <w:jc w:val="both"/>
              <w:rPr>
                <w:rFonts w:ascii="Times New Roman" w:hAnsi="Times New Roman"/>
                <w:sz w:val="24"/>
                <w:szCs w:val="24"/>
              </w:rPr>
            </w:pP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2018</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2019</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2020</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2021</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укупно</w:t>
            </w:r>
          </w:p>
        </w:tc>
      </w:tr>
      <w:tr w:rsidR="001251F2" w:rsidRPr="00F31C9E" w:rsidTr="00495CC9">
        <w:trPr>
          <w:trHeight w:val="320"/>
        </w:trPr>
        <w:tc>
          <w:tcPr>
            <w:tcW w:w="675"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1</w:t>
            </w:r>
          </w:p>
        </w:tc>
        <w:tc>
          <w:tcPr>
            <w:tcW w:w="3686"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2</w:t>
            </w:r>
          </w:p>
        </w:tc>
        <w:tc>
          <w:tcPr>
            <w:tcW w:w="850"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3</w:t>
            </w:r>
          </w:p>
        </w:tc>
        <w:tc>
          <w:tcPr>
            <w:tcW w:w="993"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4</w:t>
            </w:r>
          </w:p>
        </w:tc>
        <w:tc>
          <w:tcPr>
            <w:tcW w:w="850"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5</w:t>
            </w:r>
          </w:p>
        </w:tc>
        <w:tc>
          <w:tcPr>
            <w:tcW w:w="851"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6</w:t>
            </w:r>
          </w:p>
        </w:tc>
        <w:tc>
          <w:tcPr>
            <w:tcW w:w="951" w:type="dxa"/>
            <w:vAlign w:val="center"/>
          </w:tcPr>
          <w:p w:rsidR="001251F2" w:rsidRPr="00917DD1" w:rsidRDefault="001251F2" w:rsidP="00495CC9">
            <w:pPr>
              <w:jc w:val="center"/>
              <w:rPr>
                <w:rFonts w:ascii="Times New Roman" w:hAnsi="Times New Roman"/>
                <w:b/>
                <w:sz w:val="24"/>
                <w:szCs w:val="24"/>
              </w:rPr>
            </w:pPr>
            <w:r w:rsidRPr="00917DD1">
              <w:rPr>
                <w:rFonts w:ascii="Times New Roman" w:hAnsi="Times New Roman"/>
                <w:b/>
                <w:sz w:val="24"/>
                <w:szCs w:val="24"/>
              </w:rPr>
              <w:t>7</w:t>
            </w:r>
          </w:p>
        </w:tc>
      </w:tr>
      <w:tr w:rsidR="001251F2" w:rsidRPr="00F31C9E" w:rsidTr="00495CC9">
        <w:tc>
          <w:tcPr>
            <w:tcW w:w="675" w:type="dxa"/>
          </w:tcPr>
          <w:p w:rsidR="001251F2" w:rsidRPr="00CC0FAE" w:rsidRDefault="001251F2" w:rsidP="00495CC9">
            <w:pPr>
              <w:jc w:val="center"/>
              <w:rPr>
                <w:rFonts w:ascii="Times New Roman" w:hAnsi="Times New Roman"/>
                <w:b/>
                <w:sz w:val="24"/>
                <w:szCs w:val="24"/>
              </w:rPr>
            </w:pPr>
            <w:r w:rsidRPr="00CC0FAE">
              <w:rPr>
                <w:rFonts w:ascii="Times New Roman" w:hAnsi="Times New Roman"/>
                <w:b/>
                <w:sz w:val="24"/>
                <w:szCs w:val="24"/>
              </w:rPr>
              <w:t>1.</w:t>
            </w:r>
          </w:p>
        </w:tc>
        <w:tc>
          <w:tcPr>
            <w:tcW w:w="3686" w:type="dxa"/>
          </w:tcPr>
          <w:p w:rsidR="001251F2" w:rsidRPr="00CC0FAE" w:rsidRDefault="001251F2" w:rsidP="00495CC9">
            <w:pPr>
              <w:rPr>
                <w:rFonts w:ascii="Times New Roman" w:hAnsi="Times New Roman"/>
                <w:b/>
                <w:sz w:val="24"/>
                <w:szCs w:val="24"/>
              </w:rPr>
            </w:pPr>
            <w:r w:rsidRPr="00CC0FAE">
              <w:rPr>
                <w:rFonts w:ascii="Times New Roman" w:hAnsi="Times New Roman"/>
                <w:b/>
                <w:sz w:val="24"/>
                <w:szCs w:val="24"/>
              </w:rPr>
              <w:t>Београд, укупно, од чега: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49</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10</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10</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10</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79</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1.1.</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Заменици јавног тужиоца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25</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40</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1.2.</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Тужилачки помоћници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10</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16</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1.3.</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Записничари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14</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22</w:t>
            </w:r>
          </w:p>
        </w:tc>
      </w:tr>
      <w:tr w:rsidR="001251F2" w:rsidRPr="00F31C9E" w:rsidTr="00495CC9">
        <w:tc>
          <w:tcPr>
            <w:tcW w:w="675" w:type="dxa"/>
          </w:tcPr>
          <w:p w:rsidR="001251F2" w:rsidRPr="00CC0FAE" w:rsidRDefault="001251F2" w:rsidP="00495CC9">
            <w:pPr>
              <w:jc w:val="center"/>
              <w:rPr>
                <w:rFonts w:ascii="Times New Roman" w:hAnsi="Times New Roman"/>
                <w:b/>
                <w:sz w:val="24"/>
                <w:szCs w:val="24"/>
              </w:rPr>
            </w:pPr>
            <w:r w:rsidRPr="00CC0FAE">
              <w:rPr>
                <w:rFonts w:ascii="Times New Roman" w:hAnsi="Times New Roman"/>
                <w:b/>
                <w:sz w:val="24"/>
                <w:szCs w:val="24"/>
              </w:rPr>
              <w:t>2.</w:t>
            </w:r>
          </w:p>
        </w:tc>
        <w:tc>
          <w:tcPr>
            <w:tcW w:w="3686" w:type="dxa"/>
          </w:tcPr>
          <w:p w:rsidR="001251F2" w:rsidRPr="00CC0FAE" w:rsidRDefault="001251F2" w:rsidP="00495CC9">
            <w:pPr>
              <w:rPr>
                <w:rFonts w:ascii="Times New Roman" w:hAnsi="Times New Roman"/>
                <w:b/>
                <w:sz w:val="24"/>
                <w:szCs w:val="24"/>
              </w:rPr>
            </w:pPr>
            <w:r w:rsidRPr="00CC0FAE">
              <w:rPr>
                <w:rFonts w:ascii="Times New Roman" w:hAnsi="Times New Roman"/>
                <w:b/>
                <w:sz w:val="24"/>
                <w:szCs w:val="24"/>
              </w:rPr>
              <w:t>Нови Сад, укупно, од чега: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38</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7</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7</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7</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59</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2.1.</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Заменици јавног тужиоца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20</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29</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2.2.</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Тужилачки помоћници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8</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14</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2.3.</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Записничари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10</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16</w:t>
            </w:r>
          </w:p>
        </w:tc>
      </w:tr>
      <w:tr w:rsidR="001251F2" w:rsidRPr="00F31C9E" w:rsidTr="00495CC9">
        <w:tc>
          <w:tcPr>
            <w:tcW w:w="675" w:type="dxa"/>
          </w:tcPr>
          <w:p w:rsidR="001251F2" w:rsidRPr="00CC0FAE" w:rsidRDefault="001251F2" w:rsidP="00495CC9">
            <w:pPr>
              <w:jc w:val="center"/>
              <w:rPr>
                <w:rFonts w:ascii="Times New Roman" w:hAnsi="Times New Roman"/>
                <w:b/>
                <w:sz w:val="24"/>
                <w:szCs w:val="24"/>
              </w:rPr>
            </w:pPr>
            <w:r w:rsidRPr="00CC0FAE">
              <w:rPr>
                <w:rFonts w:ascii="Times New Roman" w:hAnsi="Times New Roman"/>
                <w:b/>
                <w:sz w:val="24"/>
                <w:szCs w:val="24"/>
              </w:rPr>
              <w:t>3.</w:t>
            </w:r>
          </w:p>
        </w:tc>
        <w:tc>
          <w:tcPr>
            <w:tcW w:w="3686" w:type="dxa"/>
          </w:tcPr>
          <w:p w:rsidR="001251F2" w:rsidRPr="00CC0FAE" w:rsidRDefault="001251F2" w:rsidP="00495CC9">
            <w:pPr>
              <w:rPr>
                <w:rFonts w:ascii="Times New Roman" w:hAnsi="Times New Roman"/>
                <w:b/>
                <w:sz w:val="24"/>
                <w:szCs w:val="24"/>
              </w:rPr>
            </w:pPr>
            <w:r w:rsidRPr="00CC0FAE">
              <w:rPr>
                <w:rFonts w:ascii="Times New Roman" w:hAnsi="Times New Roman"/>
                <w:b/>
                <w:sz w:val="24"/>
                <w:szCs w:val="24"/>
              </w:rPr>
              <w:t>Краљево, укупно, од чега: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29</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44</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3.1.</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Заменици јавног тужиоца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15</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21</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3.2.</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Тужилачки помоћници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6</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9</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3.3.</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Записничари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8</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14</w:t>
            </w:r>
          </w:p>
        </w:tc>
      </w:tr>
      <w:tr w:rsidR="001251F2" w:rsidRPr="00F31C9E" w:rsidTr="00495CC9">
        <w:tc>
          <w:tcPr>
            <w:tcW w:w="675" w:type="dxa"/>
          </w:tcPr>
          <w:p w:rsidR="001251F2" w:rsidRPr="00CC0FAE" w:rsidRDefault="001251F2" w:rsidP="00495CC9">
            <w:pPr>
              <w:jc w:val="center"/>
              <w:rPr>
                <w:rFonts w:ascii="Times New Roman" w:hAnsi="Times New Roman"/>
                <w:b/>
                <w:sz w:val="24"/>
                <w:szCs w:val="24"/>
              </w:rPr>
            </w:pPr>
            <w:r w:rsidRPr="00CC0FAE">
              <w:rPr>
                <w:rFonts w:ascii="Times New Roman" w:hAnsi="Times New Roman"/>
                <w:b/>
                <w:sz w:val="24"/>
                <w:szCs w:val="24"/>
              </w:rPr>
              <w:t>4.</w:t>
            </w:r>
          </w:p>
        </w:tc>
        <w:tc>
          <w:tcPr>
            <w:tcW w:w="3686" w:type="dxa"/>
          </w:tcPr>
          <w:p w:rsidR="001251F2" w:rsidRPr="00CC0FAE" w:rsidRDefault="001251F2" w:rsidP="00495CC9">
            <w:pPr>
              <w:rPr>
                <w:rFonts w:ascii="Times New Roman" w:hAnsi="Times New Roman"/>
                <w:b/>
                <w:sz w:val="24"/>
                <w:szCs w:val="24"/>
              </w:rPr>
            </w:pPr>
            <w:r w:rsidRPr="00CC0FAE">
              <w:rPr>
                <w:rFonts w:ascii="Times New Roman" w:hAnsi="Times New Roman"/>
                <w:b/>
                <w:sz w:val="24"/>
                <w:szCs w:val="24"/>
              </w:rPr>
              <w:t>Ниш, укупно, од чега: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29</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5</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44</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4.1.</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Заменици јавног тужиоца</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15</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21</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4.2.</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Тужилачки помоћници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6</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9</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4.3.</w:t>
            </w:r>
          </w:p>
        </w:tc>
        <w:tc>
          <w:tcPr>
            <w:tcW w:w="3686" w:type="dxa"/>
          </w:tcPr>
          <w:p w:rsidR="001251F2" w:rsidRPr="00F31C9E" w:rsidRDefault="001251F2" w:rsidP="00495CC9">
            <w:pPr>
              <w:rPr>
                <w:rFonts w:ascii="Times New Roman" w:hAnsi="Times New Roman"/>
                <w:sz w:val="24"/>
                <w:szCs w:val="24"/>
              </w:rPr>
            </w:pPr>
            <w:r w:rsidRPr="00F31C9E">
              <w:rPr>
                <w:rFonts w:ascii="Times New Roman" w:hAnsi="Times New Roman"/>
                <w:sz w:val="24"/>
                <w:szCs w:val="24"/>
              </w:rPr>
              <w:t>Записничари</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8</w:t>
            </w:r>
          </w:p>
        </w:tc>
        <w:tc>
          <w:tcPr>
            <w:tcW w:w="993"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0"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8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2</w:t>
            </w:r>
          </w:p>
        </w:tc>
        <w:tc>
          <w:tcPr>
            <w:tcW w:w="951" w:type="dxa"/>
          </w:tcPr>
          <w:p w:rsidR="001251F2" w:rsidRPr="00F31C9E" w:rsidRDefault="001251F2" w:rsidP="00495CC9">
            <w:pPr>
              <w:jc w:val="center"/>
              <w:rPr>
                <w:rFonts w:ascii="Times New Roman" w:hAnsi="Times New Roman"/>
                <w:sz w:val="24"/>
                <w:szCs w:val="24"/>
              </w:rPr>
            </w:pPr>
            <w:r w:rsidRPr="00F31C9E">
              <w:rPr>
                <w:rFonts w:ascii="Times New Roman" w:hAnsi="Times New Roman"/>
                <w:sz w:val="24"/>
                <w:szCs w:val="24"/>
              </w:rPr>
              <w:t>14</w:t>
            </w:r>
          </w:p>
        </w:tc>
      </w:tr>
      <w:tr w:rsidR="001251F2" w:rsidRPr="00F31C9E" w:rsidTr="00495CC9">
        <w:tc>
          <w:tcPr>
            <w:tcW w:w="675" w:type="dxa"/>
          </w:tcPr>
          <w:p w:rsidR="001251F2" w:rsidRPr="009A17C8" w:rsidRDefault="001251F2" w:rsidP="00495CC9">
            <w:pPr>
              <w:jc w:val="center"/>
              <w:rPr>
                <w:rFonts w:ascii="Times New Roman" w:hAnsi="Times New Roman"/>
                <w:b/>
                <w:sz w:val="24"/>
                <w:szCs w:val="24"/>
              </w:rPr>
            </w:pPr>
            <w:r w:rsidRPr="009A17C8">
              <w:rPr>
                <w:rFonts w:ascii="Times New Roman" w:hAnsi="Times New Roman"/>
                <w:b/>
                <w:sz w:val="24"/>
                <w:szCs w:val="24"/>
              </w:rPr>
              <w:t>5.</w:t>
            </w:r>
          </w:p>
        </w:tc>
        <w:tc>
          <w:tcPr>
            <w:tcW w:w="3686" w:type="dxa"/>
          </w:tcPr>
          <w:p w:rsidR="001251F2" w:rsidRPr="009A17C8" w:rsidRDefault="001251F2" w:rsidP="00495CC9">
            <w:pPr>
              <w:rPr>
                <w:rFonts w:ascii="Times New Roman" w:hAnsi="Times New Roman"/>
                <w:b/>
                <w:sz w:val="24"/>
                <w:szCs w:val="24"/>
              </w:rPr>
            </w:pPr>
            <w:r w:rsidRPr="009A17C8">
              <w:rPr>
                <w:rFonts w:ascii="Times New Roman" w:hAnsi="Times New Roman"/>
                <w:b/>
                <w:sz w:val="24"/>
                <w:szCs w:val="24"/>
              </w:rPr>
              <w:t>Остали службеници</w:t>
            </w:r>
            <w:r>
              <w:rPr>
                <w:rFonts w:ascii="Times New Roman" w:hAnsi="Times New Roman"/>
                <w:b/>
                <w:sz w:val="24"/>
                <w:szCs w:val="24"/>
              </w:rPr>
              <w:t>, укупно, од чега</w:t>
            </w:r>
            <w:r w:rsidRPr="009A17C8">
              <w:rPr>
                <w:rFonts w:ascii="Times New Roman" w:hAnsi="Times New Roman"/>
                <w:b/>
                <w:sz w:val="24"/>
                <w:szCs w:val="24"/>
              </w:rPr>
              <w:t>:</w:t>
            </w:r>
          </w:p>
        </w:tc>
        <w:tc>
          <w:tcPr>
            <w:tcW w:w="850" w:type="dxa"/>
          </w:tcPr>
          <w:p w:rsidR="001251F2" w:rsidRPr="009A17C8" w:rsidRDefault="001251F2" w:rsidP="00495CC9">
            <w:pPr>
              <w:jc w:val="center"/>
              <w:rPr>
                <w:rFonts w:ascii="Times New Roman" w:hAnsi="Times New Roman"/>
                <w:sz w:val="24"/>
                <w:szCs w:val="24"/>
              </w:rPr>
            </w:pPr>
            <w:r>
              <w:rPr>
                <w:rFonts w:ascii="Times New Roman" w:hAnsi="Times New Roman"/>
                <w:sz w:val="24"/>
                <w:szCs w:val="24"/>
              </w:rPr>
              <w:t>17</w:t>
            </w:r>
          </w:p>
        </w:tc>
        <w:tc>
          <w:tcPr>
            <w:tcW w:w="993" w:type="dxa"/>
          </w:tcPr>
          <w:p w:rsidR="001251F2" w:rsidRPr="009A17C8" w:rsidRDefault="001251F2" w:rsidP="00495CC9">
            <w:pPr>
              <w:jc w:val="center"/>
              <w:rPr>
                <w:rFonts w:ascii="Times New Roman" w:hAnsi="Times New Roman"/>
                <w:sz w:val="24"/>
                <w:szCs w:val="24"/>
              </w:rPr>
            </w:pPr>
            <w:r>
              <w:rPr>
                <w:rFonts w:ascii="Times New Roman" w:hAnsi="Times New Roman"/>
                <w:sz w:val="24"/>
                <w:szCs w:val="24"/>
              </w:rPr>
              <w:t>0</w:t>
            </w:r>
          </w:p>
        </w:tc>
        <w:tc>
          <w:tcPr>
            <w:tcW w:w="850" w:type="dxa"/>
          </w:tcPr>
          <w:p w:rsidR="001251F2" w:rsidRPr="009A17C8" w:rsidRDefault="001251F2" w:rsidP="00495CC9">
            <w:pPr>
              <w:jc w:val="center"/>
              <w:rPr>
                <w:rFonts w:ascii="Times New Roman" w:hAnsi="Times New Roman"/>
                <w:sz w:val="24"/>
                <w:szCs w:val="24"/>
              </w:rPr>
            </w:pPr>
            <w:r>
              <w:rPr>
                <w:rFonts w:ascii="Times New Roman" w:hAnsi="Times New Roman"/>
                <w:sz w:val="24"/>
                <w:szCs w:val="24"/>
              </w:rPr>
              <w:t>0</w:t>
            </w:r>
          </w:p>
        </w:tc>
        <w:tc>
          <w:tcPr>
            <w:tcW w:w="851" w:type="dxa"/>
          </w:tcPr>
          <w:p w:rsidR="001251F2" w:rsidRPr="009A17C8" w:rsidRDefault="001251F2" w:rsidP="00495CC9">
            <w:pPr>
              <w:jc w:val="center"/>
              <w:rPr>
                <w:rFonts w:ascii="Times New Roman" w:hAnsi="Times New Roman"/>
                <w:sz w:val="24"/>
                <w:szCs w:val="24"/>
              </w:rPr>
            </w:pPr>
            <w:r>
              <w:rPr>
                <w:rFonts w:ascii="Times New Roman" w:hAnsi="Times New Roman"/>
                <w:sz w:val="24"/>
                <w:szCs w:val="24"/>
              </w:rPr>
              <w:t>0</w:t>
            </w:r>
          </w:p>
        </w:tc>
        <w:tc>
          <w:tcPr>
            <w:tcW w:w="951" w:type="dxa"/>
          </w:tcPr>
          <w:p w:rsidR="001251F2" w:rsidRPr="009A17C8" w:rsidRDefault="001251F2" w:rsidP="00495CC9">
            <w:pPr>
              <w:jc w:val="center"/>
              <w:rPr>
                <w:rFonts w:ascii="Times New Roman" w:hAnsi="Times New Roman"/>
                <w:sz w:val="24"/>
                <w:szCs w:val="24"/>
              </w:rPr>
            </w:pPr>
            <w:r>
              <w:rPr>
                <w:rFonts w:ascii="Times New Roman" w:hAnsi="Times New Roman"/>
                <w:sz w:val="24"/>
                <w:szCs w:val="24"/>
              </w:rPr>
              <w:t>17</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p>
        </w:tc>
        <w:tc>
          <w:tcPr>
            <w:tcW w:w="3686" w:type="dxa"/>
          </w:tcPr>
          <w:p w:rsidR="001251F2" w:rsidRPr="002D7155" w:rsidRDefault="001251F2" w:rsidP="00495CC9">
            <w:pPr>
              <w:spacing w:after="0" w:line="240" w:lineRule="auto"/>
              <w:rPr>
                <w:rFonts w:ascii="Times New Roman" w:hAnsi="Times New Roman"/>
                <w:b/>
                <w:bCs/>
                <w:color w:val="000000"/>
                <w:sz w:val="20"/>
                <w:szCs w:val="20"/>
              </w:rPr>
            </w:pPr>
            <w:r w:rsidRPr="002D7155">
              <w:rPr>
                <w:rFonts w:ascii="Times New Roman" w:hAnsi="Times New Roman"/>
                <w:b/>
                <w:bCs/>
                <w:color w:val="000000"/>
                <w:sz w:val="20"/>
                <w:szCs w:val="20"/>
              </w:rPr>
              <w:t>Форензичари</w:t>
            </w:r>
          </w:p>
        </w:tc>
        <w:tc>
          <w:tcPr>
            <w:tcW w:w="850"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5</w:t>
            </w:r>
          </w:p>
        </w:tc>
        <w:tc>
          <w:tcPr>
            <w:tcW w:w="993"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850"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851"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951"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5</w:t>
            </w:r>
          </w:p>
        </w:tc>
      </w:tr>
      <w:tr w:rsidR="001251F2" w:rsidRPr="00F31C9E" w:rsidTr="00495CC9">
        <w:tc>
          <w:tcPr>
            <w:tcW w:w="675" w:type="dxa"/>
          </w:tcPr>
          <w:p w:rsidR="001251F2" w:rsidRPr="00F31C9E" w:rsidRDefault="001251F2" w:rsidP="00495CC9">
            <w:pPr>
              <w:jc w:val="center"/>
              <w:rPr>
                <w:rFonts w:ascii="Times New Roman" w:hAnsi="Times New Roman"/>
                <w:sz w:val="24"/>
                <w:szCs w:val="24"/>
              </w:rPr>
            </w:pPr>
          </w:p>
        </w:tc>
        <w:tc>
          <w:tcPr>
            <w:tcW w:w="3686" w:type="dxa"/>
          </w:tcPr>
          <w:p w:rsidR="001251F2" w:rsidRPr="002D7155" w:rsidRDefault="001251F2" w:rsidP="00495CC9">
            <w:pPr>
              <w:spacing w:after="0" w:line="240" w:lineRule="auto"/>
              <w:rPr>
                <w:rFonts w:ascii="Times New Roman" w:hAnsi="Times New Roman"/>
                <w:b/>
                <w:bCs/>
                <w:color w:val="000000"/>
                <w:sz w:val="20"/>
                <w:szCs w:val="20"/>
              </w:rPr>
            </w:pPr>
            <w:r w:rsidRPr="002D7155">
              <w:rPr>
                <w:rFonts w:ascii="Times New Roman" w:hAnsi="Times New Roman"/>
                <w:b/>
                <w:bCs/>
                <w:color w:val="000000"/>
                <w:sz w:val="20"/>
                <w:szCs w:val="20"/>
              </w:rPr>
              <w:t>Службеници</w:t>
            </w:r>
            <w:r w:rsidRPr="002D7155">
              <w:rPr>
                <w:rFonts w:ascii="Times New Roman" w:hAnsi="Times New Roman"/>
                <w:b/>
                <w:bCs/>
                <w:color w:val="000000"/>
                <w:sz w:val="20"/>
                <w:szCs w:val="20"/>
              </w:rPr>
              <w:br/>
              <w:t xml:space="preserve"> писарнице</w:t>
            </w:r>
          </w:p>
        </w:tc>
        <w:tc>
          <w:tcPr>
            <w:tcW w:w="850"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12</w:t>
            </w:r>
          </w:p>
        </w:tc>
        <w:tc>
          <w:tcPr>
            <w:tcW w:w="993"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850"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851"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0</w:t>
            </w:r>
          </w:p>
        </w:tc>
        <w:tc>
          <w:tcPr>
            <w:tcW w:w="951" w:type="dxa"/>
          </w:tcPr>
          <w:p w:rsidR="001251F2" w:rsidRPr="009A17C8" w:rsidRDefault="001251F2" w:rsidP="00495CC9">
            <w:pPr>
              <w:spacing w:after="0" w:line="240" w:lineRule="auto"/>
              <w:jc w:val="center"/>
              <w:rPr>
                <w:rFonts w:ascii="Times New Roman" w:hAnsi="Times New Roman"/>
                <w:bCs/>
                <w:color w:val="000000"/>
                <w:sz w:val="24"/>
                <w:szCs w:val="24"/>
              </w:rPr>
            </w:pPr>
            <w:r w:rsidRPr="009A17C8">
              <w:rPr>
                <w:rFonts w:ascii="Times New Roman" w:hAnsi="Times New Roman"/>
                <w:bCs/>
                <w:color w:val="000000"/>
                <w:sz w:val="24"/>
                <w:szCs w:val="24"/>
              </w:rPr>
              <w:t>12</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p>
        </w:tc>
        <w:tc>
          <w:tcPr>
            <w:tcW w:w="3686" w:type="dxa"/>
          </w:tcPr>
          <w:p w:rsidR="001251F2" w:rsidRPr="004317AA" w:rsidRDefault="001251F2" w:rsidP="00495CC9">
            <w:pPr>
              <w:rPr>
                <w:rFonts w:ascii="Times New Roman" w:hAnsi="Times New Roman"/>
                <w:b/>
                <w:sz w:val="24"/>
                <w:szCs w:val="24"/>
              </w:rPr>
            </w:pPr>
            <w:r w:rsidRPr="00F47762">
              <w:rPr>
                <w:rFonts w:ascii="Times New Roman" w:hAnsi="Times New Roman"/>
                <w:b/>
                <w:sz w:val="24"/>
                <w:szCs w:val="24"/>
              </w:rPr>
              <w:t>Заменици јавног тужиоца</w:t>
            </w:r>
            <w:r>
              <w:rPr>
                <w:rFonts w:ascii="Times New Roman" w:hAnsi="Times New Roman"/>
                <w:b/>
                <w:sz w:val="24"/>
                <w:szCs w:val="24"/>
              </w:rPr>
              <w:t>, укупно</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75</w:t>
            </w:r>
            <w:r>
              <w:rPr>
                <w:rStyle w:val="FootnoteReference"/>
                <w:rFonts w:ascii="Times New Roman" w:hAnsi="Times New Roman"/>
                <w:b/>
                <w:sz w:val="24"/>
                <w:szCs w:val="24"/>
              </w:rPr>
              <w:footnoteReference w:id="2"/>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951" w:type="dxa"/>
          </w:tcPr>
          <w:p w:rsidR="001251F2" w:rsidRPr="009A17C8" w:rsidRDefault="001251F2" w:rsidP="00495CC9">
            <w:pPr>
              <w:jc w:val="center"/>
              <w:rPr>
                <w:rFonts w:ascii="Times New Roman" w:hAnsi="Times New Roman"/>
                <w:b/>
                <w:sz w:val="24"/>
                <w:szCs w:val="24"/>
              </w:rPr>
            </w:pPr>
            <w:r>
              <w:rPr>
                <w:rFonts w:ascii="Times New Roman" w:hAnsi="Times New Roman"/>
                <w:b/>
                <w:sz w:val="24"/>
                <w:szCs w:val="24"/>
              </w:rPr>
              <w:t>36</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p>
        </w:tc>
        <w:tc>
          <w:tcPr>
            <w:tcW w:w="3686" w:type="dxa"/>
          </w:tcPr>
          <w:p w:rsidR="001251F2" w:rsidRPr="004317AA" w:rsidRDefault="001251F2" w:rsidP="00495CC9">
            <w:pPr>
              <w:rPr>
                <w:rFonts w:ascii="Times New Roman" w:hAnsi="Times New Roman"/>
                <w:b/>
                <w:sz w:val="24"/>
                <w:szCs w:val="24"/>
              </w:rPr>
            </w:pPr>
            <w:r w:rsidRPr="00F47762">
              <w:rPr>
                <w:rFonts w:ascii="Times New Roman" w:hAnsi="Times New Roman"/>
                <w:b/>
                <w:sz w:val="24"/>
                <w:szCs w:val="24"/>
              </w:rPr>
              <w:t>Тужилачки помоћници</w:t>
            </w:r>
            <w:r>
              <w:rPr>
                <w:rFonts w:ascii="Times New Roman" w:hAnsi="Times New Roman"/>
                <w:b/>
                <w:sz w:val="24"/>
                <w:szCs w:val="24"/>
              </w:rPr>
              <w:t>, укупно</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30</w:t>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9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48</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p>
        </w:tc>
        <w:tc>
          <w:tcPr>
            <w:tcW w:w="3686" w:type="dxa"/>
          </w:tcPr>
          <w:p w:rsidR="001251F2" w:rsidRPr="004317AA" w:rsidRDefault="001251F2" w:rsidP="00495CC9">
            <w:pPr>
              <w:rPr>
                <w:rFonts w:ascii="Times New Roman" w:hAnsi="Times New Roman"/>
                <w:b/>
                <w:sz w:val="24"/>
                <w:szCs w:val="24"/>
              </w:rPr>
            </w:pPr>
            <w:r w:rsidRPr="00F47762">
              <w:rPr>
                <w:rFonts w:ascii="Times New Roman" w:hAnsi="Times New Roman"/>
                <w:b/>
                <w:sz w:val="24"/>
                <w:szCs w:val="24"/>
              </w:rPr>
              <w:t>Записничари</w:t>
            </w:r>
            <w:r>
              <w:rPr>
                <w:rFonts w:ascii="Times New Roman" w:hAnsi="Times New Roman"/>
                <w:b/>
                <w:sz w:val="24"/>
                <w:szCs w:val="24"/>
              </w:rPr>
              <w:t>, укупно</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40</w:t>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9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67</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p>
        </w:tc>
        <w:tc>
          <w:tcPr>
            <w:tcW w:w="3686" w:type="dxa"/>
          </w:tcPr>
          <w:p w:rsidR="001251F2" w:rsidRPr="00C43818" w:rsidRDefault="001251F2" w:rsidP="00495CC9">
            <w:pPr>
              <w:rPr>
                <w:rFonts w:ascii="Times New Roman" w:hAnsi="Times New Roman"/>
                <w:b/>
                <w:sz w:val="24"/>
                <w:szCs w:val="24"/>
              </w:rPr>
            </w:pPr>
            <w:r w:rsidRPr="00CC0FAE">
              <w:rPr>
                <w:rFonts w:ascii="Times New Roman" w:hAnsi="Times New Roman"/>
                <w:b/>
                <w:sz w:val="24"/>
                <w:szCs w:val="24"/>
              </w:rPr>
              <w:t>Укупно</w:t>
            </w:r>
            <w:r>
              <w:rPr>
                <w:rFonts w:ascii="Times New Roman" w:hAnsi="Times New Roman"/>
                <w:b/>
                <w:sz w:val="24"/>
                <w:szCs w:val="24"/>
              </w:rPr>
              <w:t>:</w:t>
            </w:r>
          </w:p>
        </w:tc>
        <w:tc>
          <w:tcPr>
            <w:tcW w:w="850" w:type="dxa"/>
          </w:tcPr>
          <w:p w:rsidR="001251F2" w:rsidRPr="009A17C8" w:rsidRDefault="001251F2" w:rsidP="00495CC9">
            <w:pPr>
              <w:jc w:val="center"/>
              <w:rPr>
                <w:rFonts w:ascii="Times New Roman" w:hAnsi="Times New Roman"/>
                <w:b/>
                <w:sz w:val="24"/>
                <w:szCs w:val="24"/>
              </w:rPr>
            </w:pPr>
          </w:p>
        </w:tc>
        <w:tc>
          <w:tcPr>
            <w:tcW w:w="993" w:type="dxa"/>
          </w:tcPr>
          <w:p w:rsidR="001251F2" w:rsidRPr="00F47762" w:rsidRDefault="001251F2" w:rsidP="00495CC9">
            <w:pPr>
              <w:jc w:val="center"/>
              <w:rPr>
                <w:rFonts w:ascii="Times New Roman" w:hAnsi="Times New Roman"/>
                <w:b/>
                <w:sz w:val="24"/>
                <w:szCs w:val="24"/>
              </w:rPr>
            </w:pPr>
          </w:p>
        </w:tc>
        <w:tc>
          <w:tcPr>
            <w:tcW w:w="850" w:type="dxa"/>
          </w:tcPr>
          <w:p w:rsidR="001251F2" w:rsidRPr="00F47762" w:rsidRDefault="001251F2" w:rsidP="00495CC9">
            <w:pPr>
              <w:jc w:val="center"/>
              <w:rPr>
                <w:rFonts w:ascii="Times New Roman" w:hAnsi="Times New Roman"/>
                <w:b/>
                <w:sz w:val="24"/>
                <w:szCs w:val="24"/>
              </w:rPr>
            </w:pPr>
          </w:p>
        </w:tc>
        <w:tc>
          <w:tcPr>
            <w:tcW w:w="851" w:type="dxa"/>
          </w:tcPr>
          <w:p w:rsidR="001251F2" w:rsidRPr="00F47762" w:rsidRDefault="001251F2" w:rsidP="00495CC9">
            <w:pPr>
              <w:jc w:val="center"/>
              <w:rPr>
                <w:rFonts w:ascii="Times New Roman" w:hAnsi="Times New Roman"/>
                <w:b/>
                <w:sz w:val="24"/>
                <w:szCs w:val="24"/>
              </w:rPr>
            </w:pPr>
          </w:p>
        </w:tc>
        <w:tc>
          <w:tcPr>
            <w:tcW w:w="951" w:type="dxa"/>
          </w:tcPr>
          <w:p w:rsidR="001251F2" w:rsidRPr="009A17C8" w:rsidRDefault="001251F2" w:rsidP="00495CC9">
            <w:pPr>
              <w:jc w:val="center"/>
              <w:rPr>
                <w:rFonts w:ascii="Times New Roman" w:hAnsi="Times New Roman"/>
                <w:b/>
                <w:sz w:val="24"/>
                <w:szCs w:val="24"/>
              </w:rPr>
            </w:pP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w:t>
            </w:r>
          </w:p>
        </w:tc>
        <w:tc>
          <w:tcPr>
            <w:tcW w:w="3686" w:type="dxa"/>
          </w:tcPr>
          <w:p w:rsidR="001251F2" w:rsidRPr="00F47762" w:rsidRDefault="001251F2" w:rsidP="00495CC9">
            <w:pPr>
              <w:rPr>
                <w:rFonts w:ascii="Times New Roman" w:hAnsi="Times New Roman"/>
                <w:b/>
                <w:sz w:val="24"/>
                <w:szCs w:val="24"/>
              </w:rPr>
            </w:pPr>
            <w:r w:rsidRPr="00F47762">
              <w:rPr>
                <w:rFonts w:ascii="Times New Roman" w:hAnsi="Times New Roman"/>
                <w:b/>
                <w:sz w:val="24"/>
                <w:szCs w:val="24"/>
              </w:rPr>
              <w:t>Заменици јавног тужиоца</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75</w:t>
            </w:r>
            <w:r>
              <w:rPr>
                <w:rStyle w:val="FootnoteReference"/>
                <w:rFonts w:ascii="Times New Roman" w:hAnsi="Times New Roman"/>
                <w:b/>
                <w:sz w:val="24"/>
                <w:szCs w:val="24"/>
              </w:rPr>
              <w:footnoteReference w:id="3"/>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12</w:t>
            </w:r>
          </w:p>
        </w:tc>
        <w:tc>
          <w:tcPr>
            <w:tcW w:w="951" w:type="dxa"/>
          </w:tcPr>
          <w:p w:rsidR="001251F2" w:rsidRPr="009A17C8" w:rsidRDefault="001251F2" w:rsidP="00495CC9">
            <w:pPr>
              <w:jc w:val="center"/>
              <w:rPr>
                <w:rFonts w:ascii="Times New Roman" w:hAnsi="Times New Roman"/>
                <w:b/>
                <w:sz w:val="24"/>
                <w:szCs w:val="24"/>
              </w:rPr>
            </w:pPr>
            <w:r>
              <w:rPr>
                <w:rFonts w:ascii="Times New Roman" w:hAnsi="Times New Roman"/>
                <w:b/>
                <w:sz w:val="24"/>
                <w:szCs w:val="24"/>
              </w:rPr>
              <w:t>36</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2.</w:t>
            </w:r>
          </w:p>
        </w:tc>
        <w:tc>
          <w:tcPr>
            <w:tcW w:w="3686" w:type="dxa"/>
          </w:tcPr>
          <w:p w:rsidR="001251F2" w:rsidRPr="00F47762" w:rsidRDefault="001251F2" w:rsidP="00495CC9">
            <w:pPr>
              <w:rPr>
                <w:rFonts w:ascii="Times New Roman" w:hAnsi="Times New Roman"/>
                <w:b/>
                <w:sz w:val="24"/>
                <w:szCs w:val="24"/>
              </w:rPr>
            </w:pPr>
            <w:r w:rsidRPr="00F47762">
              <w:rPr>
                <w:rFonts w:ascii="Times New Roman" w:hAnsi="Times New Roman"/>
                <w:b/>
                <w:sz w:val="24"/>
                <w:szCs w:val="24"/>
              </w:rPr>
              <w:t>Тужилачки помоћници</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30</w:t>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w:t>
            </w:r>
          </w:p>
        </w:tc>
        <w:tc>
          <w:tcPr>
            <w:tcW w:w="9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48</w:t>
            </w:r>
          </w:p>
        </w:tc>
      </w:tr>
      <w:tr w:rsidR="001251F2" w:rsidRPr="00F31C9E" w:rsidTr="00495CC9">
        <w:tc>
          <w:tcPr>
            <w:tcW w:w="675"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3.</w:t>
            </w:r>
          </w:p>
        </w:tc>
        <w:tc>
          <w:tcPr>
            <w:tcW w:w="3686" w:type="dxa"/>
          </w:tcPr>
          <w:p w:rsidR="001251F2" w:rsidRPr="00F47762" w:rsidRDefault="001251F2" w:rsidP="00495CC9">
            <w:pPr>
              <w:rPr>
                <w:rFonts w:ascii="Times New Roman" w:hAnsi="Times New Roman"/>
                <w:b/>
                <w:sz w:val="24"/>
                <w:szCs w:val="24"/>
              </w:rPr>
            </w:pPr>
            <w:r w:rsidRPr="00F47762">
              <w:rPr>
                <w:rFonts w:ascii="Times New Roman" w:hAnsi="Times New Roman"/>
                <w:b/>
                <w:sz w:val="24"/>
                <w:szCs w:val="24"/>
              </w:rPr>
              <w:t>Записничари</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40</w:t>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9</w:t>
            </w:r>
          </w:p>
        </w:tc>
        <w:tc>
          <w:tcPr>
            <w:tcW w:w="9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67</w:t>
            </w:r>
          </w:p>
        </w:tc>
      </w:tr>
      <w:tr w:rsidR="001251F2" w:rsidRPr="00F31C9E" w:rsidTr="00495CC9">
        <w:tc>
          <w:tcPr>
            <w:tcW w:w="675" w:type="dxa"/>
          </w:tcPr>
          <w:p w:rsidR="001251F2" w:rsidRPr="00737DAA" w:rsidRDefault="001251F2" w:rsidP="00495CC9">
            <w:pPr>
              <w:jc w:val="center"/>
              <w:rPr>
                <w:rFonts w:ascii="Times New Roman" w:hAnsi="Times New Roman"/>
                <w:b/>
                <w:sz w:val="24"/>
                <w:szCs w:val="24"/>
              </w:rPr>
            </w:pPr>
            <w:r>
              <w:rPr>
                <w:rFonts w:ascii="Times New Roman" w:hAnsi="Times New Roman"/>
                <w:b/>
                <w:sz w:val="24"/>
                <w:szCs w:val="24"/>
              </w:rPr>
              <w:t>4.</w:t>
            </w:r>
          </w:p>
        </w:tc>
        <w:tc>
          <w:tcPr>
            <w:tcW w:w="3686" w:type="dxa"/>
          </w:tcPr>
          <w:p w:rsidR="001251F2" w:rsidRPr="00F47762" w:rsidRDefault="001251F2" w:rsidP="00495CC9">
            <w:pPr>
              <w:rPr>
                <w:rFonts w:ascii="Times New Roman" w:hAnsi="Times New Roman"/>
                <w:b/>
                <w:sz w:val="24"/>
                <w:szCs w:val="24"/>
              </w:rPr>
            </w:pPr>
            <w:r w:rsidRPr="002D7155">
              <w:rPr>
                <w:rFonts w:ascii="Times New Roman" w:hAnsi="Times New Roman"/>
                <w:b/>
                <w:bCs/>
                <w:color w:val="000000"/>
                <w:sz w:val="20"/>
                <w:szCs w:val="20"/>
              </w:rPr>
              <w:t>Форензичари</w:t>
            </w:r>
          </w:p>
        </w:tc>
        <w:tc>
          <w:tcPr>
            <w:tcW w:w="850"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5</w:t>
            </w:r>
          </w:p>
        </w:tc>
        <w:tc>
          <w:tcPr>
            <w:tcW w:w="993"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850"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851"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951"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5</w:t>
            </w:r>
          </w:p>
        </w:tc>
      </w:tr>
      <w:tr w:rsidR="001251F2" w:rsidRPr="00F31C9E" w:rsidTr="00495CC9">
        <w:trPr>
          <w:trHeight w:val="597"/>
        </w:trPr>
        <w:tc>
          <w:tcPr>
            <w:tcW w:w="675" w:type="dxa"/>
          </w:tcPr>
          <w:p w:rsidR="001251F2" w:rsidRDefault="001251F2" w:rsidP="00495CC9">
            <w:pPr>
              <w:jc w:val="center"/>
              <w:rPr>
                <w:rFonts w:ascii="Times New Roman" w:hAnsi="Times New Roman"/>
                <w:b/>
                <w:sz w:val="24"/>
                <w:szCs w:val="24"/>
              </w:rPr>
            </w:pPr>
            <w:r>
              <w:rPr>
                <w:rFonts w:ascii="Times New Roman" w:hAnsi="Times New Roman"/>
                <w:b/>
                <w:sz w:val="24"/>
                <w:szCs w:val="24"/>
              </w:rPr>
              <w:t>5.</w:t>
            </w:r>
          </w:p>
        </w:tc>
        <w:tc>
          <w:tcPr>
            <w:tcW w:w="3686" w:type="dxa"/>
          </w:tcPr>
          <w:p w:rsidR="001251F2" w:rsidRPr="002D7155" w:rsidRDefault="001251F2" w:rsidP="00495CC9">
            <w:pPr>
              <w:rPr>
                <w:rFonts w:ascii="Times New Roman" w:hAnsi="Times New Roman"/>
                <w:b/>
                <w:bCs/>
                <w:color w:val="000000"/>
                <w:sz w:val="20"/>
                <w:szCs w:val="20"/>
              </w:rPr>
            </w:pPr>
            <w:r w:rsidRPr="002D7155">
              <w:rPr>
                <w:rFonts w:ascii="Times New Roman" w:hAnsi="Times New Roman"/>
                <w:b/>
                <w:bCs/>
                <w:color w:val="000000"/>
                <w:sz w:val="20"/>
                <w:szCs w:val="20"/>
              </w:rPr>
              <w:t>Службеници</w:t>
            </w:r>
            <w:r w:rsidRPr="002D7155">
              <w:rPr>
                <w:rFonts w:ascii="Times New Roman" w:hAnsi="Times New Roman"/>
                <w:b/>
                <w:bCs/>
                <w:color w:val="000000"/>
                <w:sz w:val="20"/>
                <w:szCs w:val="20"/>
              </w:rPr>
              <w:br/>
              <w:t xml:space="preserve"> писарнице</w:t>
            </w:r>
          </w:p>
        </w:tc>
        <w:tc>
          <w:tcPr>
            <w:tcW w:w="850"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12</w:t>
            </w:r>
          </w:p>
        </w:tc>
        <w:tc>
          <w:tcPr>
            <w:tcW w:w="993"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850"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851"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0</w:t>
            </w:r>
          </w:p>
        </w:tc>
        <w:tc>
          <w:tcPr>
            <w:tcW w:w="951" w:type="dxa"/>
          </w:tcPr>
          <w:p w:rsidR="001251F2" w:rsidRPr="00737DAA" w:rsidRDefault="001251F2" w:rsidP="00495CC9">
            <w:pPr>
              <w:spacing w:after="0" w:line="240" w:lineRule="auto"/>
              <w:jc w:val="center"/>
              <w:rPr>
                <w:rFonts w:ascii="Times New Roman" w:hAnsi="Times New Roman"/>
                <w:b/>
                <w:bCs/>
                <w:color w:val="000000"/>
                <w:sz w:val="24"/>
                <w:szCs w:val="24"/>
              </w:rPr>
            </w:pPr>
            <w:r w:rsidRPr="00737DAA">
              <w:rPr>
                <w:rFonts w:ascii="Times New Roman" w:hAnsi="Times New Roman"/>
                <w:b/>
                <w:bCs/>
                <w:color w:val="000000"/>
                <w:sz w:val="24"/>
                <w:szCs w:val="24"/>
              </w:rPr>
              <w:t>12</w:t>
            </w:r>
          </w:p>
        </w:tc>
      </w:tr>
      <w:tr w:rsidR="001251F2" w:rsidRPr="00F31C9E" w:rsidTr="00495CC9">
        <w:trPr>
          <w:trHeight w:val="597"/>
        </w:trPr>
        <w:tc>
          <w:tcPr>
            <w:tcW w:w="675" w:type="dxa"/>
          </w:tcPr>
          <w:p w:rsidR="001251F2" w:rsidRPr="00F47762" w:rsidRDefault="001251F2" w:rsidP="00495CC9">
            <w:pPr>
              <w:jc w:val="center"/>
              <w:rPr>
                <w:rFonts w:ascii="Times New Roman" w:hAnsi="Times New Roman"/>
                <w:b/>
                <w:sz w:val="24"/>
                <w:szCs w:val="24"/>
              </w:rPr>
            </w:pPr>
          </w:p>
        </w:tc>
        <w:tc>
          <w:tcPr>
            <w:tcW w:w="3686" w:type="dxa"/>
          </w:tcPr>
          <w:p w:rsidR="001251F2" w:rsidRPr="00C43818" w:rsidRDefault="001251F2" w:rsidP="00495CC9">
            <w:pPr>
              <w:rPr>
                <w:rFonts w:ascii="Times New Roman" w:hAnsi="Times New Roman"/>
                <w:b/>
                <w:sz w:val="24"/>
                <w:szCs w:val="24"/>
              </w:rPr>
            </w:pPr>
            <w:r w:rsidRPr="00CC0FAE">
              <w:rPr>
                <w:rFonts w:ascii="Times New Roman" w:hAnsi="Times New Roman"/>
                <w:b/>
                <w:sz w:val="24"/>
                <w:szCs w:val="24"/>
              </w:rPr>
              <w:t>Укупно</w:t>
            </w:r>
            <w:r>
              <w:rPr>
                <w:rFonts w:ascii="Times New Roman" w:hAnsi="Times New Roman"/>
                <w:b/>
                <w:sz w:val="24"/>
                <w:szCs w:val="24"/>
              </w:rPr>
              <w:t xml:space="preserve"> ( 1+2+3+4+5)</w:t>
            </w:r>
          </w:p>
        </w:tc>
        <w:tc>
          <w:tcPr>
            <w:tcW w:w="850" w:type="dxa"/>
          </w:tcPr>
          <w:p w:rsidR="001251F2" w:rsidRPr="009A17C8" w:rsidRDefault="001251F2" w:rsidP="00495CC9">
            <w:pPr>
              <w:jc w:val="center"/>
              <w:rPr>
                <w:rFonts w:ascii="Times New Roman" w:hAnsi="Times New Roman"/>
                <w:b/>
                <w:sz w:val="24"/>
                <w:szCs w:val="24"/>
              </w:rPr>
            </w:pPr>
            <w:r>
              <w:rPr>
                <w:rFonts w:ascii="Times New Roman" w:hAnsi="Times New Roman"/>
                <w:b/>
                <w:sz w:val="24"/>
                <w:szCs w:val="24"/>
              </w:rPr>
              <w:t>87</w:t>
            </w:r>
          </w:p>
        </w:tc>
        <w:tc>
          <w:tcPr>
            <w:tcW w:w="993"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27</w:t>
            </w:r>
          </w:p>
        </w:tc>
        <w:tc>
          <w:tcPr>
            <w:tcW w:w="850"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27</w:t>
            </w:r>
          </w:p>
        </w:tc>
        <w:tc>
          <w:tcPr>
            <w:tcW w:w="851" w:type="dxa"/>
          </w:tcPr>
          <w:p w:rsidR="001251F2" w:rsidRPr="00F47762" w:rsidRDefault="001251F2" w:rsidP="00495CC9">
            <w:pPr>
              <w:jc w:val="center"/>
              <w:rPr>
                <w:rFonts w:ascii="Times New Roman" w:hAnsi="Times New Roman"/>
                <w:b/>
                <w:sz w:val="24"/>
                <w:szCs w:val="24"/>
              </w:rPr>
            </w:pPr>
            <w:r w:rsidRPr="00F47762">
              <w:rPr>
                <w:rFonts w:ascii="Times New Roman" w:hAnsi="Times New Roman"/>
                <w:b/>
                <w:sz w:val="24"/>
                <w:szCs w:val="24"/>
              </w:rPr>
              <w:t>27</w:t>
            </w:r>
          </w:p>
        </w:tc>
        <w:tc>
          <w:tcPr>
            <w:tcW w:w="951" w:type="dxa"/>
          </w:tcPr>
          <w:p w:rsidR="001251F2" w:rsidRPr="009A17C8" w:rsidRDefault="001251F2" w:rsidP="00495CC9">
            <w:pPr>
              <w:jc w:val="center"/>
              <w:rPr>
                <w:rFonts w:ascii="Times New Roman" w:hAnsi="Times New Roman"/>
                <w:b/>
                <w:sz w:val="24"/>
                <w:szCs w:val="24"/>
              </w:rPr>
            </w:pPr>
            <w:r>
              <w:rPr>
                <w:rFonts w:ascii="Times New Roman" w:hAnsi="Times New Roman"/>
                <w:b/>
                <w:sz w:val="24"/>
                <w:szCs w:val="24"/>
              </w:rPr>
              <w:t>168</w:t>
            </w:r>
          </w:p>
        </w:tc>
      </w:tr>
    </w:tbl>
    <w:p w:rsidR="001251F2" w:rsidRPr="008F1106" w:rsidRDefault="001251F2" w:rsidP="008F1106">
      <w:pPr>
        <w:pStyle w:val="NoSpacing"/>
        <w:jc w:val="both"/>
        <w:rPr>
          <w:rFonts w:ascii="Times New Roman" w:hAnsi="Times New Roman"/>
          <w:sz w:val="24"/>
          <w:szCs w:val="24"/>
        </w:rPr>
      </w:pP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С обзиром да у 2018. години примена закона по</w:t>
      </w:r>
      <w:r>
        <w:rPr>
          <w:rFonts w:ascii="Times New Roman" w:hAnsi="Times New Roman"/>
          <w:sz w:val="24"/>
          <w:szCs w:val="24"/>
        </w:rPr>
        <w:t xml:space="preserve">чиње на крају првог квартала ( </w:t>
      </w:r>
      <w:r w:rsidRPr="008F1106">
        <w:rPr>
          <w:rFonts w:ascii="Times New Roman" w:hAnsi="Times New Roman"/>
          <w:sz w:val="24"/>
          <w:szCs w:val="24"/>
        </w:rPr>
        <w:t>1. марта 2018. године), процењено је да, у овој  првој години примене закона треба извршити прерасподелу постојећих људских ресурса, а то пре свега заменика јавних тужилаца (укупно   75 заменика јавног тужиоца - Београд 25, Нови Сад 20, Краљево 15 и Ниш 15), без пријема нових заменика јавног тужиоца  у 2018. години, за ова четири  нова одељења. Међутим, у 2018. години планира се запошљавање 30 тужилачких помоћника и 40 записничара, 5 форензичара и  12 службеника за потребе четири писарнице (4 са вишом и 8 са средњом спремом), што укупно износи 87 људи у овој го</w:t>
      </w:r>
      <w:r>
        <w:rPr>
          <w:rFonts w:ascii="Times New Roman" w:hAnsi="Times New Roman"/>
          <w:sz w:val="24"/>
          <w:szCs w:val="24"/>
        </w:rPr>
        <w:t>дини, а у  наредне три године (</w:t>
      </w:r>
      <w:bookmarkStart w:id="0" w:name="_GoBack"/>
      <w:bookmarkEnd w:id="0"/>
      <w:r w:rsidRPr="008F1106">
        <w:rPr>
          <w:rFonts w:ascii="Times New Roman" w:hAnsi="Times New Roman"/>
          <w:sz w:val="24"/>
          <w:szCs w:val="24"/>
        </w:rPr>
        <w:t>2019. 2020. и 2021. години) планирано је запошљавање:  по 12 заменика јавног тужиоца (Београд 5, Нови Сад 3, Краљево 2 и Ниш 2),  по 6 тужилачких помоћника и  по 9 записничара, или укупно за три следеће године, 36 заменика јавних тужилаца, 48 тужилачких помоћника и 67 записничара или укупно у периоду 2018. до 2021. године 168 људи,  са прорачунима према наведеним одговарајућим коефицијентима (бруто плати), а у складу са буџетским прописима, а што према попуњеним одговарајућим ПФЕ обрасцима за 2018. годину и прорачунима за наредне године, изгледа овако:</w:t>
      </w:r>
    </w:p>
    <w:p w:rsidR="001251F2" w:rsidRDefault="001251F2" w:rsidP="008F1106">
      <w:pPr>
        <w:pStyle w:val="NoSpacing"/>
        <w:jc w:val="both"/>
        <w:rPr>
          <w:rFonts w:ascii="Times New Roman" w:hAnsi="Times New Roman"/>
          <w:sz w:val="24"/>
          <w:szCs w:val="24"/>
        </w:rPr>
      </w:pPr>
    </w:p>
    <w:p w:rsidR="001251F2" w:rsidRDefault="001251F2" w:rsidP="008F1106">
      <w:pPr>
        <w:pStyle w:val="NoSpacing"/>
        <w:jc w:val="both"/>
        <w:rPr>
          <w:rFonts w:ascii="Times New Roman" w:hAnsi="Times New Roman"/>
          <w:sz w:val="24"/>
          <w:szCs w:val="24"/>
        </w:rPr>
      </w:pPr>
    </w:p>
    <w:p w:rsidR="001251F2" w:rsidRPr="008F1106" w:rsidRDefault="001251F2" w:rsidP="008F1106">
      <w:pPr>
        <w:pStyle w:val="NoSpacing"/>
        <w:jc w:val="both"/>
        <w:rPr>
          <w:rFonts w:ascii="Times New Roman" w:hAnsi="Times New Roman"/>
          <w:sz w:val="24"/>
          <w:szCs w:val="24"/>
        </w:rPr>
      </w:pPr>
    </w:p>
    <w:tbl>
      <w:tblPr>
        <w:tblW w:w="8900" w:type="dxa"/>
        <w:tblInd w:w="93" w:type="dxa"/>
        <w:tblLook w:val="00A0"/>
      </w:tblPr>
      <w:tblGrid>
        <w:gridCol w:w="621"/>
        <w:gridCol w:w="1438"/>
        <w:gridCol w:w="1402"/>
        <w:gridCol w:w="1431"/>
        <w:gridCol w:w="1345"/>
        <w:gridCol w:w="1327"/>
        <w:gridCol w:w="1336"/>
      </w:tblGrid>
      <w:tr w:rsidR="001251F2" w:rsidRPr="00042C84" w:rsidTr="00495CC9">
        <w:trPr>
          <w:trHeight w:val="315"/>
        </w:trPr>
        <w:tc>
          <w:tcPr>
            <w:tcW w:w="8900" w:type="dxa"/>
            <w:gridSpan w:val="7"/>
            <w:tcBorders>
              <w:top w:val="single" w:sz="8" w:space="0" w:color="auto"/>
              <w:left w:val="single" w:sz="8" w:space="0" w:color="auto"/>
              <w:bottom w:val="single" w:sz="8" w:space="0" w:color="auto"/>
              <w:right w:val="single" w:sz="8" w:space="0" w:color="000000"/>
            </w:tcBorders>
            <w:noWrap/>
            <w:vAlign w:val="bottom"/>
          </w:tcPr>
          <w:p w:rsidR="001251F2" w:rsidRPr="00042C84" w:rsidRDefault="001251F2" w:rsidP="00495CC9">
            <w:pPr>
              <w:spacing w:after="0" w:line="240" w:lineRule="auto"/>
              <w:jc w:val="right"/>
              <w:rPr>
                <w:rFonts w:ascii="Times New Roman" w:hAnsi="Times New Roman"/>
                <w:b/>
                <w:bCs/>
                <w:color w:val="000000"/>
              </w:rPr>
            </w:pPr>
            <w:r w:rsidRPr="00042C84">
              <w:rPr>
                <w:rFonts w:ascii="Times New Roman" w:hAnsi="Times New Roman"/>
                <w:b/>
                <w:bCs/>
                <w:color w:val="000000"/>
              </w:rPr>
              <w:t xml:space="preserve"> У динарима</w:t>
            </w:r>
          </w:p>
        </w:tc>
      </w:tr>
      <w:tr w:rsidR="001251F2" w:rsidRPr="00042C84" w:rsidTr="00495CC9">
        <w:trPr>
          <w:trHeight w:val="780"/>
        </w:trPr>
        <w:tc>
          <w:tcPr>
            <w:tcW w:w="520" w:type="dxa"/>
            <w:tcBorders>
              <w:top w:val="nil"/>
              <w:left w:val="single" w:sz="8" w:space="0" w:color="auto"/>
              <w:bottom w:val="single" w:sz="8" w:space="0" w:color="000000"/>
              <w:right w:val="single" w:sz="8" w:space="0" w:color="000000"/>
            </w:tcBorders>
            <w:vAlign w:val="center"/>
          </w:tcPr>
          <w:p w:rsidR="001251F2" w:rsidRPr="00042C84" w:rsidRDefault="001251F2" w:rsidP="00495CC9">
            <w:pPr>
              <w:spacing w:after="0" w:line="240" w:lineRule="auto"/>
              <w:jc w:val="center"/>
              <w:rPr>
                <w:rFonts w:ascii="Times New Roman" w:hAnsi="Times New Roman"/>
                <w:b/>
                <w:bCs/>
                <w:color w:val="000000"/>
                <w:sz w:val="24"/>
                <w:szCs w:val="24"/>
              </w:rPr>
            </w:pPr>
            <w:r w:rsidRPr="00042C84">
              <w:rPr>
                <w:rFonts w:ascii="Times New Roman" w:hAnsi="Times New Roman"/>
                <w:b/>
                <w:bCs/>
                <w:color w:val="000000"/>
                <w:sz w:val="24"/>
                <w:szCs w:val="24"/>
              </w:rPr>
              <w:t>Р.</w:t>
            </w:r>
            <w:r w:rsidRPr="00042C84">
              <w:rPr>
                <w:rFonts w:ascii="Times New Roman" w:hAnsi="Times New Roman"/>
                <w:b/>
                <w:bCs/>
                <w:color w:val="000000"/>
                <w:sz w:val="24"/>
                <w:szCs w:val="24"/>
              </w:rPr>
              <w:br/>
              <w:t>бр.</w:t>
            </w:r>
          </w:p>
        </w:tc>
        <w:tc>
          <w:tcPr>
            <w:tcW w:w="1252" w:type="dxa"/>
            <w:tcBorders>
              <w:top w:val="nil"/>
              <w:left w:val="nil"/>
              <w:bottom w:val="single" w:sz="8" w:space="0" w:color="000000"/>
              <w:right w:val="single" w:sz="8" w:space="0" w:color="000000"/>
            </w:tcBorders>
            <w:vAlign w:val="center"/>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Врста људ</w:t>
            </w:r>
            <w:r w:rsidRPr="00042C84">
              <w:rPr>
                <w:rFonts w:ascii="Times New Roman" w:hAnsi="Times New Roman"/>
                <w:b/>
                <w:bCs/>
                <w:color w:val="000000"/>
                <w:sz w:val="20"/>
                <w:szCs w:val="20"/>
              </w:rPr>
              <w:br/>
              <w:t>ских ресурса/</w:t>
            </w:r>
            <w:r w:rsidRPr="00042C84">
              <w:rPr>
                <w:rFonts w:ascii="Times New Roman" w:hAnsi="Times New Roman"/>
                <w:b/>
                <w:bCs/>
                <w:color w:val="000000"/>
                <w:sz w:val="20"/>
                <w:szCs w:val="20"/>
              </w:rPr>
              <w:br/>
              <w:t>износи у дин.</w:t>
            </w:r>
          </w:p>
        </w:tc>
        <w:tc>
          <w:tcPr>
            <w:tcW w:w="1480" w:type="dxa"/>
            <w:tcBorders>
              <w:top w:val="nil"/>
              <w:left w:val="nil"/>
              <w:bottom w:val="single" w:sz="8" w:space="0" w:color="000000"/>
              <w:right w:val="single" w:sz="8" w:space="0" w:color="000000"/>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2018</w:t>
            </w:r>
          </w:p>
        </w:tc>
        <w:tc>
          <w:tcPr>
            <w:tcW w:w="1500" w:type="dxa"/>
            <w:tcBorders>
              <w:top w:val="nil"/>
              <w:left w:val="nil"/>
              <w:bottom w:val="single" w:sz="8" w:space="0" w:color="000000"/>
              <w:right w:val="single" w:sz="8" w:space="0" w:color="000000"/>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2019</w:t>
            </w:r>
          </w:p>
        </w:tc>
        <w:tc>
          <w:tcPr>
            <w:tcW w:w="1400" w:type="dxa"/>
            <w:tcBorders>
              <w:top w:val="nil"/>
              <w:left w:val="nil"/>
              <w:bottom w:val="single" w:sz="8" w:space="0" w:color="000000"/>
              <w:right w:val="single" w:sz="8" w:space="0" w:color="000000"/>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2020</w:t>
            </w:r>
          </w:p>
        </w:tc>
        <w:tc>
          <w:tcPr>
            <w:tcW w:w="1360" w:type="dxa"/>
            <w:tcBorders>
              <w:top w:val="nil"/>
              <w:left w:val="nil"/>
              <w:bottom w:val="single" w:sz="8" w:space="0" w:color="000000"/>
              <w:right w:val="single" w:sz="8" w:space="0" w:color="000000"/>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2021</w:t>
            </w:r>
          </w:p>
        </w:tc>
        <w:tc>
          <w:tcPr>
            <w:tcW w:w="1388" w:type="dxa"/>
            <w:tcBorders>
              <w:top w:val="nil"/>
              <w:left w:val="nil"/>
              <w:bottom w:val="single" w:sz="8" w:space="0" w:color="000000"/>
              <w:right w:val="single" w:sz="8" w:space="0" w:color="auto"/>
            </w:tcBorders>
            <w:vAlign w:val="center"/>
          </w:tcPr>
          <w:p w:rsidR="001251F2" w:rsidRPr="00042C84" w:rsidRDefault="001251F2" w:rsidP="00495CC9">
            <w:pPr>
              <w:spacing w:after="0" w:line="240" w:lineRule="auto"/>
              <w:jc w:val="center"/>
              <w:rPr>
                <w:rFonts w:ascii="Times New Roman" w:hAnsi="Times New Roman"/>
                <w:b/>
                <w:bCs/>
                <w:color w:val="000000"/>
                <w:sz w:val="20"/>
                <w:szCs w:val="20"/>
              </w:rPr>
            </w:pPr>
            <w:r w:rsidRPr="00042C84">
              <w:rPr>
                <w:rFonts w:ascii="Times New Roman" w:hAnsi="Times New Roman"/>
                <w:b/>
                <w:bCs/>
                <w:color w:val="000000"/>
                <w:sz w:val="20"/>
                <w:szCs w:val="20"/>
              </w:rPr>
              <w:t>укупно</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20"/>
                <w:szCs w:val="20"/>
              </w:rPr>
            </w:pPr>
            <w:r w:rsidRPr="00042C84">
              <w:rPr>
                <w:rFonts w:ascii="Times New Roman" w:hAnsi="Times New Roman"/>
                <w:b/>
                <w:bCs/>
                <w:color w:val="000000"/>
                <w:sz w:val="20"/>
                <w:szCs w:val="20"/>
              </w:rPr>
              <w:t>2</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6</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7</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Љ.ресурси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r>
      <w:tr w:rsidR="001251F2" w:rsidRPr="00042C84" w:rsidTr="00495CC9">
        <w:trPr>
          <w:trHeight w:val="780"/>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1.1.</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Заменици</w:t>
            </w:r>
            <w:r w:rsidRPr="00042C84">
              <w:rPr>
                <w:rFonts w:ascii="Times New Roman" w:hAnsi="Times New Roman"/>
                <w:b/>
                <w:bCs/>
                <w:color w:val="000000"/>
                <w:sz w:val="20"/>
                <w:szCs w:val="20"/>
              </w:rPr>
              <w:br/>
              <w:t xml:space="preserve"> јавног</w:t>
            </w:r>
            <w:r w:rsidRPr="00042C84">
              <w:rPr>
                <w:rFonts w:ascii="Times New Roman" w:hAnsi="Times New Roman"/>
                <w:b/>
                <w:bCs/>
                <w:color w:val="000000"/>
                <w:sz w:val="20"/>
                <w:szCs w:val="20"/>
              </w:rPr>
              <w:br/>
              <w:t xml:space="preserve"> тужиоца</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0</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12</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12+12</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12+12+12</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36</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Износ </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0</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32.258.000</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64.516.000</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96.774.000</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193.548.000</w:t>
            </w:r>
          </w:p>
        </w:tc>
      </w:tr>
      <w:tr w:rsidR="001251F2" w:rsidRPr="00042C84" w:rsidTr="00495CC9">
        <w:trPr>
          <w:trHeight w:val="52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1.2.</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Тужилачки </w:t>
            </w:r>
            <w:r w:rsidRPr="00042C84">
              <w:rPr>
                <w:rFonts w:ascii="Times New Roman" w:hAnsi="Times New Roman"/>
                <w:b/>
                <w:bCs/>
                <w:color w:val="000000"/>
                <w:sz w:val="20"/>
                <w:szCs w:val="20"/>
              </w:rPr>
              <w:br/>
              <w:t>помоћници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30</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30+6</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30+6+6</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30+6+6+6</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48</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Износ </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32.933.520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39.520.224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46.106.928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52.693.632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171.254.304      </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1.3.</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Записничари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40</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40+9</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40+9+9</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40+9+9+9</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67</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Износ </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17.290.560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21.180.936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25.071.312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28.961.688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92.504.496      </w:t>
            </w:r>
          </w:p>
        </w:tc>
      </w:tr>
      <w:tr w:rsidR="001251F2" w:rsidRPr="00042C84" w:rsidTr="00495CC9">
        <w:trPr>
          <w:trHeight w:val="52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1.4.</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Остали </w:t>
            </w:r>
            <w:r w:rsidRPr="00042C84">
              <w:rPr>
                <w:rFonts w:ascii="Times New Roman" w:hAnsi="Times New Roman"/>
                <w:b/>
                <w:bCs/>
                <w:color w:val="000000"/>
                <w:sz w:val="20"/>
                <w:szCs w:val="20"/>
              </w:rPr>
              <w:br/>
              <w:t>службеници: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14.1.</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Форензичари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5</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 xml:space="preserve">Износ </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9.051.900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9.051.900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9.051.900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9.051.900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36.207.600      </w:t>
            </w:r>
          </w:p>
        </w:tc>
      </w:tr>
      <w:tr w:rsidR="001251F2" w:rsidRPr="00042C84" w:rsidTr="00495CC9">
        <w:trPr>
          <w:trHeight w:val="52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1.4.2.</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Службеници</w:t>
            </w:r>
            <w:r w:rsidRPr="00042C84">
              <w:rPr>
                <w:rFonts w:ascii="Times New Roman" w:hAnsi="Times New Roman"/>
                <w:b/>
                <w:bCs/>
                <w:color w:val="000000"/>
                <w:sz w:val="20"/>
                <w:szCs w:val="20"/>
              </w:rPr>
              <w:br/>
              <w:t xml:space="preserve"> писарнице</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12</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12</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12</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12</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12</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Износ</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5.885.184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5.885.184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5.885.184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5.885.184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23.540.736      </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Свега 1.</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Број</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87</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87+27</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87+27+27</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87+27+27+27</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168</w:t>
            </w:r>
          </w:p>
        </w:tc>
      </w:tr>
      <w:tr w:rsidR="001251F2" w:rsidRPr="00042C84" w:rsidTr="00495CC9">
        <w:trPr>
          <w:trHeight w:val="31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Износ</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65.161.164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107.896.244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150.631.324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193.366.404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517.055.136      </w:t>
            </w:r>
          </w:p>
        </w:tc>
      </w:tr>
      <w:tr w:rsidR="001251F2" w:rsidRPr="00042C84" w:rsidTr="00495CC9">
        <w:trPr>
          <w:trHeight w:val="525"/>
        </w:trPr>
        <w:tc>
          <w:tcPr>
            <w:tcW w:w="520" w:type="dxa"/>
            <w:tcBorders>
              <w:top w:val="nil"/>
              <w:left w:val="single" w:sz="8" w:space="0" w:color="auto"/>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2.</w:t>
            </w:r>
          </w:p>
        </w:tc>
        <w:tc>
          <w:tcPr>
            <w:tcW w:w="1252" w:type="dxa"/>
            <w:tcBorders>
              <w:top w:val="nil"/>
              <w:left w:val="nil"/>
              <w:bottom w:val="single" w:sz="8" w:space="0" w:color="000000"/>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Остали</w:t>
            </w:r>
            <w:r w:rsidRPr="00042C84">
              <w:rPr>
                <w:rFonts w:ascii="Times New Roman" w:hAnsi="Times New Roman"/>
                <w:b/>
                <w:bCs/>
                <w:color w:val="000000"/>
                <w:sz w:val="20"/>
                <w:szCs w:val="20"/>
              </w:rPr>
              <w:br/>
              <w:t xml:space="preserve"> расходи</w:t>
            </w:r>
          </w:p>
        </w:tc>
        <w:tc>
          <w:tcPr>
            <w:tcW w:w="148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5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40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60" w:type="dxa"/>
            <w:tcBorders>
              <w:top w:val="nil"/>
              <w:left w:val="nil"/>
              <w:bottom w:val="single" w:sz="8" w:space="0" w:color="000000"/>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c>
          <w:tcPr>
            <w:tcW w:w="1388" w:type="dxa"/>
            <w:tcBorders>
              <w:top w:val="nil"/>
              <w:left w:val="nil"/>
              <w:bottom w:val="single" w:sz="8" w:space="0" w:color="000000"/>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w:t>
            </w:r>
          </w:p>
        </w:tc>
      </w:tr>
      <w:tr w:rsidR="001251F2" w:rsidRPr="00042C84" w:rsidTr="00495CC9">
        <w:trPr>
          <w:trHeight w:val="300"/>
        </w:trPr>
        <w:tc>
          <w:tcPr>
            <w:tcW w:w="520" w:type="dxa"/>
            <w:tcBorders>
              <w:top w:val="nil"/>
              <w:left w:val="single" w:sz="8" w:space="0" w:color="auto"/>
              <w:bottom w:val="nil"/>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2.1.</w:t>
            </w:r>
          </w:p>
        </w:tc>
        <w:tc>
          <w:tcPr>
            <w:tcW w:w="1252" w:type="dxa"/>
            <w:tcBorders>
              <w:top w:val="nil"/>
              <w:left w:val="nil"/>
              <w:bottom w:val="nil"/>
              <w:right w:val="single" w:sz="8" w:space="0" w:color="000000"/>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Закупнина</w:t>
            </w:r>
          </w:p>
        </w:tc>
        <w:tc>
          <w:tcPr>
            <w:tcW w:w="1480" w:type="dxa"/>
            <w:tcBorders>
              <w:top w:val="nil"/>
              <w:left w:val="nil"/>
              <w:bottom w:val="nil"/>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11.905.000      </w:t>
            </w:r>
          </w:p>
        </w:tc>
        <w:tc>
          <w:tcPr>
            <w:tcW w:w="1500" w:type="dxa"/>
            <w:tcBorders>
              <w:top w:val="nil"/>
              <w:left w:val="nil"/>
              <w:bottom w:val="nil"/>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11.905.000      </w:t>
            </w:r>
          </w:p>
        </w:tc>
        <w:tc>
          <w:tcPr>
            <w:tcW w:w="1400" w:type="dxa"/>
            <w:tcBorders>
              <w:top w:val="nil"/>
              <w:left w:val="nil"/>
              <w:bottom w:val="nil"/>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11.905.000      </w:t>
            </w:r>
          </w:p>
        </w:tc>
        <w:tc>
          <w:tcPr>
            <w:tcW w:w="1360" w:type="dxa"/>
            <w:tcBorders>
              <w:top w:val="nil"/>
              <w:left w:val="nil"/>
              <w:bottom w:val="nil"/>
              <w:right w:val="single" w:sz="8" w:space="0" w:color="000000"/>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11.905.000      </w:t>
            </w:r>
          </w:p>
        </w:tc>
        <w:tc>
          <w:tcPr>
            <w:tcW w:w="1388" w:type="dxa"/>
            <w:tcBorders>
              <w:top w:val="nil"/>
              <w:left w:val="nil"/>
              <w:bottom w:val="nil"/>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47.620.000      </w:t>
            </w:r>
          </w:p>
        </w:tc>
      </w:tr>
      <w:tr w:rsidR="001251F2" w:rsidRPr="00042C84" w:rsidTr="00495CC9">
        <w:trPr>
          <w:trHeight w:val="540"/>
        </w:trPr>
        <w:tc>
          <w:tcPr>
            <w:tcW w:w="520" w:type="dxa"/>
            <w:tcBorders>
              <w:top w:val="single" w:sz="4" w:space="0" w:color="auto"/>
              <w:left w:val="single" w:sz="8" w:space="0" w:color="auto"/>
              <w:bottom w:val="single" w:sz="4" w:space="0" w:color="auto"/>
              <w:right w:val="nil"/>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2.2.</w:t>
            </w:r>
          </w:p>
        </w:tc>
        <w:tc>
          <w:tcPr>
            <w:tcW w:w="1252" w:type="dxa"/>
            <w:tcBorders>
              <w:top w:val="single" w:sz="4" w:space="0" w:color="auto"/>
              <w:left w:val="single" w:sz="4" w:space="0" w:color="auto"/>
              <w:bottom w:val="single" w:sz="4" w:space="0" w:color="auto"/>
              <w:right w:val="single" w:sz="4" w:space="0" w:color="auto"/>
            </w:tcBorders>
            <w:vAlign w:val="center"/>
          </w:tcPr>
          <w:p w:rsidR="001251F2" w:rsidRPr="00042C84" w:rsidRDefault="001251F2" w:rsidP="00495CC9">
            <w:pPr>
              <w:spacing w:after="0" w:line="240" w:lineRule="auto"/>
              <w:rPr>
                <w:rFonts w:ascii="Times New Roman" w:hAnsi="Times New Roman"/>
                <w:b/>
                <w:bCs/>
                <w:color w:val="000000"/>
                <w:sz w:val="20"/>
                <w:szCs w:val="20"/>
              </w:rPr>
            </w:pPr>
            <w:r>
              <w:rPr>
                <w:rFonts w:ascii="Times New Roman" w:hAnsi="Times New Roman"/>
                <w:b/>
                <w:bCs/>
                <w:color w:val="000000"/>
                <w:sz w:val="20"/>
                <w:szCs w:val="20"/>
              </w:rPr>
              <w:t xml:space="preserve">Текући </w:t>
            </w:r>
            <w:r w:rsidRPr="00042C84">
              <w:rPr>
                <w:rFonts w:ascii="Times New Roman" w:hAnsi="Times New Roman"/>
                <w:b/>
                <w:bCs/>
                <w:color w:val="000000"/>
                <w:sz w:val="20"/>
                <w:szCs w:val="20"/>
              </w:rPr>
              <w:t>расходи</w:t>
            </w:r>
          </w:p>
        </w:tc>
        <w:tc>
          <w:tcPr>
            <w:tcW w:w="1480" w:type="dxa"/>
            <w:tcBorders>
              <w:top w:val="single" w:sz="4" w:space="0" w:color="auto"/>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12.000.000      </w:t>
            </w:r>
          </w:p>
        </w:tc>
        <w:tc>
          <w:tcPr>
            <w:tcW w:w="1500" w:type="dxa"/>
            <w:tcBorders>
              <w:top w:val="single" w:sz="4" w:space="0" w:color="auto"/>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12.000.000      </w:t>
            </w:r>
          </w:p>
        </w:tc>
        <w:tc>
          <w:tcPr>
            <w:tcW w:w="1400" w:type="dxa"/>
            <w:tcBorders>
              <w:top w:val="single" w:sz="4" w:space="0" w:color="auto"/>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12.000.000      </w:t>
            </w:r>
          </w:p>
        </w:tc>
        <w:tc>
          <w:tcPr>
            <w:tcW w:w="1360" w:type="dxa"/>
            <w:tcBorders>
              <w:top w:val="single" w:sz="4" w:space="0" w:color="auto"/>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12.000.000      </w:t>
            </w:r>
          </w:p>
        </w:tc>
        <w:tc>
          <w:tcPr>
            <w:tcW w:w="1388" w:type="dxa"/>
            <w:tcBorders>
              <w:top w:val="single" w:sz="4" w:space="0" w:color="auto"/>
              <w:left w:val="nil"/>
              <w:bottom w:val="single" w:sz="4" w:space="0" w:color="auto"/>
              <w:right w:val="single" w:sz="8"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48.000.000      </w:t>
            </w:r>
          </w:p>
        </w:tc>
      </w:tr>
      <w:tr w:rsidR="001251F2" w:rsidRPr="00042C84" w:rsidTr="00495CC9">
        <w:trPr>
          <w:trHeight w:val="300"/>
        </w:trPr>
        <w:tc>
          <w:tcPr>
            <w:tcW w:w="520" w:type="dxa"/>
            <w:tcBorders>
              <w:top w:val="nil"/>
              <w:left w:val="single" w:sz="8" w:space="0" w:color="auto"/>
              <w:bottom w:val="nil"/>
              <w:right w:val="nil"/>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 </w:t>
            </w:r>
          </w:p>
        </w:tc>
        <w:tc>
          <w:tcPr>
            <w:tcW w:w="1252" w:type="dxa"/>
            <w:tcBorders>
              <w:top w:val="nil"/>
              <w:left w:val="single" w:sz="4" w:space="0" w:color="auto"/>
              <w:bottom w:val="single" w:sz="4" w:space="0" w:color="auto"/>
              <w:right w:val="single" w:sz="4" w:space="0" w:color="auto"/>
            </w:tcBorders>
            <w:vAlign w:val="center"/>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Свега 2.</w:t>
            </w:r>
          </w:p>
        </w:tc>
        <w:tc>
          <w:tcPr>
            <w:tcW w:w="1480" w:type="dxa"/>
            <w:tcBorders>
              <w:top w:val="nil"/>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23.905.000      </w:t>
            </w:r>
          </w:p>
        </w:tc>
        <w:tc>
          <w:tcPr>
            <w:tcW w:w="1500" w:type="dxa"/>
            <w:tcBorders>
              <w:top w:val="nil"/>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23.905.000      </w:t>
            </w:r>
          </w:p>
        </w:tc>
        <w:tc>
          <w:tcPr>
            <w:tcW w:w="1400" w:type="dxa"/>
            <w:tcBorders>
              <w:top w:val="nil"/>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23.905.000      </w:t>
            </w:r>
          </w:p>
        </w:tc>
        <w:tc>
          <w:tcPr>
            <w:tcW w:w="1360" w:type="dxa"/>
            <w:tcBorders>
              <w:top w:val="nil"/>
              <w:left w:val="nil"/>
              <w:bottom w:val="single" w:sz="4" w:space="0" w:color="auto"/>
              <w:right w:val="single" w:sz="4"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23.905.000      </w:t>
            </w:r>
          </w:p>
        </w:tc>
        <w:tc>
          <w:tcPr>
            <w:tcW w:w="1388" w:type="dxa"/>
            <w:tcBorders>
              <w:top w:val="nil"/>
              <w:left w:val="nil"/>
              <w:bottom w:val="single" w:sz="4" w:space="0" w:color="auto"/>
              <w:right w:val="single" w:sz="8" w:space="0" w:color="auto"/>
            </w:tcBorders>
            <w:vAlign w:val="center"/>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95.620.000      </w:t>
            </w:r>
          </w:p>
        </w:tc>
      </w:tr>
      <w:tr w:rsidR="001251F2" w:rsidRPr="00042C84" w:rsidTr="00495CC9">
        <w:trPr>
          <w:trHeight w:val="315"/>
        </w:trPr>
        <w:tc>
          <w:tcPr>
            <w:tcW w:w="520" w:type="dxa"/>
            <w:tcBorders>
              <w:top w:val="nil"/>
              <w:left w:val="single" w:sz="8" w:space="0" w:color="auto"/>
              <w:bottom w:val="single" w:sz="8" w:space="0" w:color="auto"/>
              <w:right w:val="nil"/>
            </w:tcBorders>
          </w:tcPr>
          <w:p w:rsidR="001251F2" w:rsidRPr="00042C84" w:rsidRDefault="001251F2" w:rsidP="00495CC9">
            <w:pPr>
              <w:spacing w:after="0" w:line="240" w:lineRule="auto"/>
              <w:jc w:val="center"/>
              <w:rPr>
                <w:rFonts w:ascii="Times New Roman" w:hAnsi="Times New Roman"/>
                <w:b/>
                <w:bCs/>
                <w:color w:val="000000"/>
                <w:sz w:val="18"/>
                <w:szCs w:val="18"/>
              </w:rPr>
            </w:pPr>
            <w:r w:rsidRPr="00042C84">
              <w:rPr>
                <w:rFonts w:ascii="Times New Roman" w:hAnsi="Times New Roman"/>
                <w:b/>
                <w:bCs/>
                <w:color w:val="000000"/>
                <w:sz w:val="18"/>
                <w:szCs w:val="18"/>
              </w:rPr>
              <w:t>5.7.</w:t>
            </w:r>
          </w:p>
        </w:tc>
        <w:tc>
          <w:tcPr>
            <w:tcW w:w="1252" w:type="dxa"/>
            <w:tcBorders>
              <w:top w:val="nil"/>
              <w:left w:val="single" w:sz="4" w:space="0" w:color="auto"/>
              <w:bottom w:val="single" w:sz="8" w:space="0" w:color="auto"/>
              <w:right w:val="single" w:sz="4" w:space="0" w:color="auto"/>
            </w:tcBorders>
          </w:tcPr>
          <w:p w:rsidR="001251F2" w:rsidRPr="00042C84" w:rsidRDefault="001251F2" w:rsidP="00495CC9">
            <w:pPr>
              <w:spacing w:after="0" w:line="240" w:lineRule="auto"/>
              <w:rPr>
                <w:rFonts w:ascii="Times New Roman" w:hAnsi="Times New Roman"/>
                <w:b/>
                <w:bCs/>
                <w:color w:val="000000"/>
                <w:sz w:val="20"/>
                <w:szCs w:val="20"/>
              </w:rPr>
            </w:pPr>
            <w:r w:rsidRPr="00042C84">
              <w:rPr>
                <w:rFonts w:ascii="Times New Roman" w:hAnsi="Times New Roman"/>
                <w:b/>
                <w:bCs/>
                <w:color w:val="000000"/>
                <w:sz w:val="20"/>
                <w:szCs w:val="20"/>
              </w:rPr>
              <w:t>Укупно (1+2)</w:t>
            </w:r>
          </w:p>
        </w:tc>
        <w:tc>
          <w:tcPr>
            <w:tcW w:w="1480" w:type="dxa"/>
            <w:tcBorders>
              <w:top w:val="nil"/>
              <w:left w:val="nil"/>
              <w:bottom w:val="single" w:sz="8" w:space="0" w:color="auto"/>
              <w:right w:val="single" w:sz="4"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89.066.164      </w:t>
            </w:r>
          </w:p>
        </w:tc>
        <w:tc>
          <w:tcPr>
            <w:tcW w:w="1500" w:type="dxa"/>
            <w:tcBorders>
              <w:top w:val="nil"/>
              <w:left w:val="nil"/>
              <w:bottom w:val="single" w:sz="8" w:space="0" w:color="auto"/>
              <w:right w:val="single" w:sz="4"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131.801.244      </w:t>
            </w:r>
          </w:p>
        </w:tc>
        <w:tc>
          <w:tcPr>
            <w:tcW w:w="1400" w:type="dxa"/>
            <w:tcBorders>
              <w:top w:val="nil"/>
              <w:left w:val="nil"/>
              <w:bottom w:val="single" w:sz="8" w:space="0" w:color="auto"/>
              <w:right w:val="single" w:sz="4"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174.536.324      </w:t>
            </w:r>
          </w:p>
        </w:tc>
        <w:tc>
          <w:tcPr>
            <w:tcW w:w="1360" w:type="dxa"/>
            <w:tcBorders>
              <w:top w:val="nil"/>
              <w:left w:val="nil"/>
              <w:bottom w:val="single" w:sz="8" w:space="0" w:color="auto"/>
              <w:right w:val="single" w:sz="4"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217.271.404      </w:t>
            </w:r>
          </w:p>
        </w:tc>
        <w:tc>
          <w:tcPr>
            <w:tcW w:w="1388" w:type="dxa"/>
            <w:tcBorders>
              <w:top w:val="nil"/>
              <w:left w:val="nil"/>
              <w:bottom w:val="single" w:sz="8" w:space="0" w:color="auto"/>
              <w:right w:val="single" w:sz="8" w:space="0" w:color="auto"/>
            </w:tcBorders>
          </w:tcPr>
          <w:p w:rsidR="001251F2" w:rsidRPr="00042C84" w:rsidRDefault="001251F2" w:rsidP="00495CC9">
            <w:pPr>
              <w:spacing w:after="0" w:line="240" w:lineRule="auto"/>
              <w:jc w:val="center"/>
              <w:rPr>
                <w:rFonts w:ascii="Times New Roman" w:hAnsi="Times New Roman"/>
                <w:b/>
                <w:bCs/>
                <w:color w:val="000000"/>
                <w:sz w:val="16"/>
                <w:szCs w:val="16"/>
              </w:rPr>
            </w:pPr>
            <w:r w:rsidRPr="00042C84">
              <w:rPr>
                <w:rFonts w:ascii="Times New Roman" w:hAnsi="Times New Roman"/>
                <w:b/>
                <w:bCs/>
                <w:color w:val="000000"/>
                <w:sz w:val="16"/>
                <w:szCs w:val="16"/>
              </w:rPr>
              <w:t xml:space="preserve">   612.675.136      </w:t>
            </w:r>
          </w:p>
        </w:tc>
      </w:tr>
    </w:tbl>
    <w:p w:rsidR="001251F2" w:rsidRPr="00042C84" w:rsidRDefault="001251F2" w:rsidP="008F1106">
      <w:pPr>
        <w:jc w:val="both"/>
        <w:rPr>
          <w:rFonts w:ascii="Times New Roman" w:hAnsi="Times New Roman"/>
          <w:sz w:val="24"/>
          <w:szCs w:val="24"/>
        </w:rPr>
      </w:pP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iCs/>
          <w:sz w:val="24"/>
          <w:szCs w:val="24"/>
        </w:rPr>
        <w:t>Сходно</w:t>
      </w:r>
      <w:r w:rsidRPr="008F1106">
        <w:rPr>
          <w:rFonts w:ascii="Times New Roman" w:hAnsi="Times New Roman"/>
          <w:sz w:val="24"/>
          <w:szCs w:val="24"/>
        </w:rPr>
        <w:t xml:space="preserve"> члану 19. Закона, за прописану могућност образовања службе финансијске форензике, неопходно је да се изврши пријем 5 финансијских форензичара у 2018.години (висока спрема), као и формирање писарница у сваком од четири одељења, с тим што би у Београду у Новом Саду било запослено по 4 службеника у писарници (по 3 запослена са средњом спремом и  1 руководилац писарнице - виша спрема), а у Краљеву и Нишу по два службеника (по 1 са средњом спремом и по 1 са вишом школском спремом), што укупно износи 12 службеника у четири писарнице, са прорачунима према одговарајућим коефицијентима за наведени ниво школске спреме, а у складу са буџетским прописима.</w:t>
      </w:r>
    </w:p>
    <w:p w:rsidR="001251F2" w:rsidRDefault="001251F2" w:rsidP="008F1106">
      <w:pPr>
        <w:pStyle w:val="NoSpacing"/>
        <w:ind w:firstLine="720"/>
        <w:jc w:val="both"/>
        <w:rPr>
          <w:rFonts w:ascii="Times New Roman" w:hAnsi="Times New Roman"/>
          <w:sz w:val="24"/>
          <w:szCs w:val="24"/>
        </w:rPr>
      </w:pPr>
      <w:r>
        <w:rPr>
          <w:rFonts w:ascii="Times New Roman" w:hAnsi="Times New Roman"/>
          <w:sz w:val="24"/>
          <w:szCs w:val="24"/>
        </w:rPr>
        <w:t xml:space="preserve">Када су </w:t>
      </w:r>
      <w:r w:rsidRPr="008F1106">
        <w:rPr>
          <w:rFonts w:ascii="Times New Roman" w:hAnsi="Times New Roman"/>
          <w:sz w:val="24"/>
          <w:szCs w:val="24"/>
        </w:rPr>
        <w:t>остали људски ресурси у питању, процењено је следеће:</w:t>
      </w:r>
    </w:p>
    <w:p w:rsidR="001251F2" w:rsidRPr="008F1106" w:rsidRDefault="001251F2" w:rsidP="008F1106">
      <w:pPr>
        <w:pStyle w:val="NoSpacing"/>
        <w:ind w:firstLine="720"/>
        <w:jc w:val="both"/>
        <w:rPr>
          <w:rFonts w:ascii="Times New Roman" w:hAnsi="Times New Roman"/>
          <w:sz w:val="24"/>
          <w:szCs w:val="24"/>
        </w:rPr>
      </w:pPr>
    </w:p>
    <w:p w:rsidR="001251F2" w:rsidRPr="008F1106" w:rsidRDefault="001251F2" w:rsidP="008F1106">
      <w:pPr>
        <w:pStyle w:val="NoSpacing"/>
        <w:ind w:firstLine="720"/>
        <w:jc w:val="both"/>
        <w:rPr>
          <w:rFonts w:ascii="Times New Roman" w:hAnsi="Times New Roman"/>
          <w:iCs/>
          <w:sz w:val="24"/>
          <w:szCs w:val="24"/>
        </w:rPr>
      </w:pPr>
      <w:r w:rsidRPr="008F1106">
        <w:rPr>
          <w:rFonts w:ascii="Times New Roman" w:hAnsi="Times New Roman"/>
          <w:sz w:val="24"/>
          <w:szCs w:val="24"/>
        </w:rPr>
        <w:t xml:space="preserve">- да се из расположивог броја, без посебних додатних средстава могу прераспоредити запослени за поступање у складу са чланом 16. Закона, како је предвиђено да се </w:t>
      </w:r>
      <w:r w:rsidRPr="008F1106">
        <w:rPr>
          <w:rFonts w:ascii="Times New Roman" w:hAnsi="Times New Roman"/>
          <w:iCs/>
          <w:sz w:val="24"/>
          <w:szCs w:val="24"/>
        </w:rPr>
        <w:t>у оквиру министарства надлежног за у</w:t>
      </w:r>
      <w:r>
        <w:rPr>
          <w:rFonts w:ascii="Times New Roman" w:hAnsi="Times New Roman"/>
          <w:iCs/>
          <w:sz w:val="24"/>
          <w:szCs w:val="24"/>
        </w:rPr>
        <w:t>нутрашње послове образује организациона јединица надлежна</w:t>
      </w:r>
      <w:r w:rsidRPr="008F1106">
        <w:rPr>
          <w:rFonts w:ascii="Times New Roman" w:hAnsi="Times New Roman"/>
          <w:iCs/>
          <w:sz w:val="24"/>
          <w:szCs w:val="24"/>
        </w:rPr>
        <w:t xml:space="preserve"> за сузбијање корупције ради обављања полицијских послова у вези са кривичн</w:t>
      </w:r>
      <w:r>
        <w:rPr>
          <w:rFonts w:ascii="Times New Roman" w:hAnsi="Times New Roman"/>
          <w:iCs/>
          <w:sz w:val="24"/>
          <w:szCs w:val="24"/>
        </w:rPr>
        <w:t>им делима из члана 13. Закона (</w:t>
      </w:r>
      <w:r w:rsidRPr="008F1106">
        <w:rPr>
          <w:rFonts w:ascii="Times New Roman" w:hAnsi="Times New Roman"/>
          <w:iCs/>
          <w:sz w:val="24"/>
          <w:szCs w:val="24"/>
        </w:rPr>
        <w:t>четири полицијска одељења са седиштима која су идентична седиштима виших јавних тужилаштава у оквиру којих су образују посебна одељења);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iCs/>
          <w:sz w:val="24"/>
          <w:szCs w:val="24"/>
        </w:rPr>
        <w:t xml:space="preserve">-  да се </w:t>
      </w:r>
      <w:r w:rsidRPr="008F1106">
        <w:rPr>
          <w:rFonts w:ascii="Times New Roman" w:hAnsi="Times New Roman"/>
          <w:sz w:val="24"/>
          <w:szCs w:val="24"/>
        </w:rPr>
        <w:t>из расположивог броја, без посебних додатних средстава могу прераспоредити запослени за предвиђену новину у виду увођења службеника за везу и ударних група;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Када су у питању остали трошкови, процењује се да би за примену Закона додатно требал</w:t>
      </w:r>
      <w:r>
        <w:rPr>
          <w:rFonts w:ascii="Times New Roman" w:hAnsi="Times New Roman"/>
          <w:sz w:val="24"/>
          <w:szCs w:val="24"/>
        </w:rPr>
        <w:t>о обезбедити још по 1.000.000</w:t>
      </w:r>
      <w:r w:rsidRPr="008F1106">
        <w:rPr>
          <w:rFonts w:ascii="Times New Roman" w:hAnsi="Times New Roman"/>
          <w:sz w:val="24"/>
          <w:szCs w:val="24"/>
        </w:rPr>
        <w:t xml:space="preserve"> динара м</w:t>
      </w:r>
      <w:r>
        <w:rPr>
          <w:rFonts w:ascii="Times New Roman" w:hAnsi="Times New Roman"/>
          <w:sz w:val="24"/>
          <w:szCs w:val="24"/>
        </w:rPr>
        <w:t>есечно ( 12.000.000</w:t>
      </w:r>
      <w:r w:rsidRPr="008F1106">
        <w:rPr>
          <w:rFonts w:ascii="Times New Roman" w:hAnsi="Times New Roman"/>
          <w:sz w:val="24"/>
          <w:szCs w:val="24"/>
        </w:rPr>
        <w:t xml:space="preserve"> динара годишње), почев од 2018. године, преко Државног већа тужилаца, за остале текуће трошкове за рад јавних тужилаштава.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Када су у питању пословни простори за смештај људског особља планирано је следеће:</w:t>
      </w:r>
    </w:p>
    <w:p w:rsidR="001251F2" w:rsidRPr="008F1106" w:rsidRDefault="001251F2" w:rsidP="008F1106">
      <w:pPr>
        <w:pStyle w:val="NoSpacing"/>
        <w:jc w:val="both"/>
        <w:rPr>
          <w:rFonts w:ascii="Times New Roman" w:hAnsi="Times New Roman"/>
          <w:sz w:val="24"/>
          <w:szCs w:val="24"/>
        </w:rPr>
      </w:pPr>
      <w:r w:rsidRPr="008F1106">
        <w:rPr>
          <w:rFonts w:ascii="Times New Roman" w:hAnsi="Times New Roman"/>
          <w:sz w:val="24"/>
          <w:szCs w:val="24"/>
        </w:rPr>
        <w:t xml:space="preserve"> </w:t>
      </w:r>
      <w:r>
        <w:rPr>
          <w:rFonts w:ascii="Times New Roman" w:hAnsi="Times New Roman"/>
          <w:sz w:val="24"/>
          <w:szCs w:val="24"/>
        </w:rPr>
        <w:tab/>
      </w:r>
      <w:r w:rsidRPr="008F1106">
        <w:rPr>
          <w:rFonts w:ascii="Times New Roman" w:hAnsi="Times New Roman"/>
          <w:sz w:val="24"/>
          <w:szCs w:val="24"/>
        </w:rPr>
        <w:t xml:space="preserve">- у Београду, рентирање пословног простора до завршетка реконструкције зграде </w:t>
      </w:r>
      <w:r>
        <w:rPr>
          <w:rFonts w:ascii="Times New Roman" w:hAnsi="Times New Roman"/>
          <w:sz w:val="24"/>
          <w:szCs w:val="24"/>
        </w:rPr>
        <w:t>Палата правде ( 2019. година)</w:t>
      </w:r>
      <w:r>
        <w:rPr>
          <w:rFonts w:ascii="Times New Roman" w:hAnsi="Times New Roman"/>
          <w:sz w:val="24"/>
          <w:szCs w:val="24"/>
          <w:lang w:val="sr-Cyrl-CS"/>
        </w:rPr>
        <w:t>;</w:t>
      </w:r>
      <w:r w:rsidRPr="008F1106">
        <w:rPr>
          <w:rFonts w:ascii="Times New Roman" w:hAnsi="Times New Roman"/>
          <w:sz w:val="24"/>
          <w:szCs w:val="24"/>
        </w:rPr>
        <w:t xml:space="preserve">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у Новом Саду, рентирање пословног простора до завршетка изградње палате правде која почиње 2018. године;</w:t>
      </w:r>
    </w:p>
    <w:p w:rsidR="001251F2" w:rsidRPr="008F1106" w:rsidRDefault="001251F2" w:rsidP="008F1106">
      <w:pPr>
        <w:pStyle w:val="NoSpacing"/>
        <w:jc w:val="both"/>
        <w:rPr>
          <w:rFonts w:ascii="Times New Roman" w:hAnsi="Times New Roman"/>
          <w:sz w:val="24"/>
          <w:szCs w:val="24"/>
        </w:rPr>
      </w:pPr>
      <w:r w:rsidRPr="008F1106">
        <w:rPr>
          <w:rFonts w:ascii="Times New Roman" w:hAnsi="Times New Roman"/>
          <w:sz w:val="24"/>
          <w:szCs w:val="24"/>
        </w:rPr>
        <w:t xml:space="preserve"> </w:t>
      </w:r>
      <w:r>
        <w:rPr>
          <w:rFonts w:ascii="Times New Roman" w:hAnsi="Times New Roman"/>
          <w:sz w:val="24"/>
          <w:szCs w:val="24"/>
        </w:rPr>
        <w:tab/>
      </w:r>
      <w:r w:rsidRPr="008F1106">
        <w:rPr>
          <w:rFonts w:ascii="Times New Roman" w:hAnsi="Times New Roman"/>
          <w:sz w:val="24"/>
          <w:szCs w:val="24"/>
        </w:rPr>
        <w:t xml:space="preserve">- у Краљеву, рентирање пословног простора до коначног решења, а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у Нишу - реалокација постојећих  капацитета и прерасподела</w:t>
      </w:r>
      <w:r>
        <w:rPr>
          <w:rFonts w:ascii="Times New Roman" w:hAnsi="Times New Roman"/>
          <w:sz w:val="24"/>
          <w:szCs w:val="24"/>
        </w:rPr>
        <w:t xml:space="preserve"> постојећег пословног простора </w:t>
      </w:r>
      <w:r w:rsidRPr="008F1106">
        <w:rPr>
          <w:rFonts w:ascii="Times New Roman" w:hAnsi="Times New Roman"/>
          <w:sz w:val="24"/>
          <w:szCs w:val="24"/>
        </w:rPr>
        <w:t>у згради Апелационог суда.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Укупни трошкови закупнине за наведене локације процењени су на износ од </w:t>
      </w:r>
      <w:r w:rsidRPr="008F1106">
        <w:rPr>
          <w:rFonts w:ascii="Times New Roman" w:hAnsi="Times New Roman"/>
          <w:bCs/>
          <w:color w:val="000000"/>
          <w:sz w:val="24"/>
          <w:szCs w:val="24"/>
        </w:rPr>
        <w:t>11.905.000   динара годишње.</w:t>
      </w:r>
    </w:p>
    <w:p w:rsidR="001251F2" w:rsidRDefault="001251F2" w:rsidP="008F1106">
      <w:pPr>
        <w:pStyle w:val="NoSpacing"/>
        <w:jc w:val="both"/>
        <w:rPr>
          <w:rFonts w:ascii="Times New Roman" w:hAnsi="Times New Roman"/>
          <w:sz w:val="24"/>
          <w:szCs w:val="24"/>
        </w:rPr>
      </w:pPr>
      <w:r w:rsidRPr="008F1106">
        <w:rPr>
          <w:rFonts w:ascii="Times New Roman" w:hAnsi="Times New Roman"/>
          <w:sz w:val="24"/>
          <w:szCs w:val="24"/>
        </w:rPr>
        <w:t xml:space="preserve"> </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Трошкови информационо комуникационог система и других припадајућих потреба решаваће се у склопу одговарајућих прорачуна за развој јединствене инфраструктуре информационог система и централног софтверског решења за сва тужилаштва у Републици Србији.</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Трошкови обука и других неопходних едукација извршиће се у оквиру плана и програма Правосудне академије и донаторских средстава. </w:t>
      </w:r>
    </w:p>
    <w:p w:rsidR="001251F2" w:rsidRDefault="001251F2" w:rsidP="008F1106">
      <w:pPr>
        <w:pStyle w:val="NoSpacing"/>
        <w:ind w:firstLine="720"/>
        <w:jc w:val="both"/>
        <w:rPr>
          <w:rFonts w:ascii="Times New Roman" w:hAnsi="Times New Roman"/>
          <w:sz w:val="24"/>
          <w:szCs w:val="24"/>
        </w:rPr>
      </w:pP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Имајући изнето у виду, за спровођење овог закона је потребно обезбедити средства по годинама, и то:</w:t>
      </w:r>
    </w:p>
    <w:p w:rsidR="001251F2" w:rsidRPr="008F1106" w:rsidRDefault="001251F2" w:rsidP="008F1106">
      <w:pPr>
        <w:pStyle w:val="NoSpacing"/>
        <w:ind w:firstLine="720"/>
        <w:jc w:val="both"/>
        <w:rPr>
          <w:rFonts w:ascii="Times New Roman" w:hAnsi="Times New Roman"/>
          <w:bCs/>
          <w:color w:val="000000"/>
          <w:sz w:val="24"/>
          <w:szCs w:val="24"/>
        </w:rPr>
      </w:pPr>
      <w:r>
        <w:rPr>
          <w:rFonts w:ascii="Times New Roman" w:hAnsi="Times New Roman"/>
          <w:sz w:val="24"/>
          <w:szCs w:val="24"/>
        </w:rPr>
        <w:t xml:space="preserve">- у 2018. години, потребна су </w:t>
      </w:r>
      <w:r w:rsidRPr="008F1106">
        <w:rPr>
          <w:rFonts w:ascii="Times New Roman" w:hAnsi="Times New Roman"/>
          <w:sz w:val="24"/>
          <w:szCs w:val="24"/>
        </w:rPr>
        <w:t xml:space="preserve">буџетска средства у укупном износу од </w:t>
      </w:r>
      <w:r w:rsidRPr="008F1106">
        <w:rPr>
          <w:rFonts w:ascii="Times New Roman" w:hAnsi="Times New Roman"/>
          <w:bCs/>
          <w:color w:val="000000"/>
          <w:sz w:val="24"/>
          <w:szCs w:val="24"/>
        </w:rPr>
        <w:t>89.066.164</w:t>
      </w:r>
      <w:r>
        <w:rPr>
          <w:rFonts w:ascii="Times New Roman" w:hAnsi="Times New Roman"/>
          <w:bCs/>
          <w:color w:val="000000"/>
          <w:sz w:val="24"/>
          <w:szCs w:val="24"/>
          <w:lang w:val="sr-Cyrl-CS"/>
        </w:rPr>
        <w:t xml:space="preserve"> </w:t>
      </w:r>
      <w:r w:rsidRPr="008F1106">
        <w:rPr>
          <w:rFonts w:ascii="Times New Roman" w:hAnsi="Times New Roman"/>
          <w:sz w:val="24"/>
          <w:szCs w:val="24"/>
        </w:rPr>
        <w:t xml:space="preserve">динара, од чега за плате нових запослених у укупном износу од </w:t>
      </w:r>
      <w:r w:rsidRPr="008F1106">
        <w:rPr>
          <w:rFonts w:ascii="Times New Roman" w:hAnsi="Times New Roman"/>
          <w:bCs/>
          <w:color w:val="000000"/>
          <w:sz w:val="24"/>
          <w:szCs w:val="24"/>
        </w:rPr>
        <w:t>65.161.164</w:t>
      </w:r>
      <w:r>
        <w:rPr>
          <w:rFonts w:ascii="Times New Roman" w:hAnsi="Times New Roman"/>
          <w:bCs/>
          <w:color w:val="000000"/>
          <w:sz w:val="24"/>
          <w:szCs w:val="24"/>
          <w:lang w:val="sr-Cyrl-CS"/>
        </w:rPr>
        <w:t xml:space="preserve"> </w:t>
      </w:r>
      <w:r w:rsidRPr="008F1106">
        <w:rPr>
          <w:rFonts w:ascii="Times New Roman" w:hAnsi="Times New Roman"/>
          <w:sz w:val="24"/>
          <w:szCs w:val="24"/>
        </w:rPr>
        <w:t xml:space="preserve">динара и остале расходе, укупно </w:t>
      </w:r>
      <w:r w:rsidRPr="008F1106">
        <w:rPr>
          <w:rFonts w:ascii="Times New Roman" w:hAnsi="Times New Roman"/>
          <w:bCs/>
          <w:color w:val="000000"/>
          <w:sz w:val="24"/>
          <w:szCs w:val="24"/>
        </w:rPr>
        <w:t>23.905.000</w:t>
      </w:r>
      <w:r>
        <w:rPr>
          <w:rFonts w:ascii="Times New Roman" w:hAnsi="Times New Roman"/>
          <w:bCs/>
          <w:color w:val="000000"/>
          <w:sz w:val="24"/>
          <w:szCs w:val="24"/>
          <w:lang w:val="sr-Cyrl-CS"/>
        </w:rPr>
        <w:t xml:space="preserve"> </w:t>
      </w:r>
      <w:r w:rsidRPr="008F1106">
        <w:rPr>
          <w:rFonts w:ascii="Times New Roman" w:hAnsi="Times New Roman"/>
          <w:sz w:val="24"/>
          <w:szCs w:val="24"/>
        </w:rPr>
        <w:t xml:space="preserve">динара, од чега за закупнине </w:t>
      </w:r>
      <w:r>
        <w:rPr>
          <w:rFonts w:ascii="Times New Roman" w:hAnsi="Times New Roman"/>
          <w:bCs/>
          <w:color w:val="000000"/>
          <w:sz w:val="24"/>
          <w:szCs w:val="24"/>
        </w:rPr>
        <w:t>11.905.000</w:t>
      </w:r>
      <w:r>
        <w:rPr>
          <w:rFonts w:ascii="Times New Roman" w:hAnsi="Times New Roman"/>
          <w:bCs/>
          <w:color w:val="000000"/>
          <w:sz w:val="24"/>
          <w:szCs w:val="24"/>
          <w:lang w:val="sr-Cyrl-CS"/>
        </w:rPr>
        <w:t xml:space="preserve"> </w:t>
      </w:r>
      <w:r w:rsidRPr="008F1106">
        <w:rPr>
          <w:rFonts w:ascii="Times New Roman" w:hAnsi="Times New Roman"/>
          <w:bCs/>
          <w:color w:val="000000"/>
          <w:sz w:val="24"/>
          <w:szCs w:val="24"/>
        </w:rPr>
        <w:t xml:space="preserve">динара </w:t>
      </w:r>
      <w:r>
        <w:rPr>
          <w:rFonts w:ascii="Times New Roman" w:hAnsi="Times New Roman"/>
          <w:bCs/>
          <w:color w:val="000000"/>
          <w:sz w:val="24"/>
          <w:szCs w:val="24"/>
        </w:rPr>
        <w:t>и  друге текуће расходе за рад</w:t>
      </w:r>
      <w:r>
        <w:rPr>
          <w:rFonts w:ascii="Times New Roman" w:hAnsi="Times New Roman"/>
          <w:bCs/>
          <w:color w:val="000000"/>
          <w:sz w:val="24"/>
          <w:szCs w:val="24"/>
          <w:lang w:val="sr-Cyrl-CS"/>
        </w:rPr>
        <w:t xml:space="preserve"> </w:t>
      </w:r>
      <w:r>
        <w:rPr>
          <w:rFonts w:ascii="Times New Roman" w:hAnsi="Times New Roman"/>
          <w:bCs/>
          <w:color w:val="000000"/>
          <w:sz w:val="24"/>
          <w:szCs w:val="24"/>
        </w:rPr>
        <w:t xml:space="preserve">ових органа 12.000.000 </w:t>
      </w:r>
      <w:r w:rsidRPr="008F1106">
        <w:rPr>
          <w:rFonts w:ascii="Times New Roman" w:hAnsi="Times New Roman"/>
          <w:bCs/>
          <w:color w:val="000000"/>
          <w:sz w:val="24"/>
          <w:szCs w:val="24"/>
        </w:rPr>
        <w:t>динара;</w:t>
      </w:r>
    </w:p>
    <w:p w:rsidR="001251F2" w:rsidRPr="008F1106" w:rsidRDefault="001251F2" w:rsidP="008F1106">
      <w:pPr>
        <w:pStyle w:val="NoSpacing"/>
        <w:ind w:firstLine="720"/>
        <w:jc w:val="both"/>
        <w:rPr>
          <w:rFonts w:ascii="Times New Roman" w:hAnsi="Times New Roman"/>
          <w:sz w:val="24"/>
          <w:szCs w:val="24"/>
        </w:rPr>
      </w:pPr>
      <w:r w:rsidRPr="008F1106">
        <w:rPr>
          <w:rFonts w:ascii="Times New Roman" w:hAnsi="Times New Roman"/>
          <w:sz w:val="24"/>
          <w:szCs w:val="24"/>
        </w:rPr>
        <w:t xml:space="preserve">- у 2019. години, потребна су буџетска средства у укупном износу од </w:t>
      </w:r>
      <w:r w:rsidRPr="008F1106">
        <w:rPr>
          <w:rFonts w:ascii="Times New Roman" w:hAnsi="Times New Roman"/>
          <w:bCs/>
          <w:color w:val="000000"/>
          <w:sz w:val="24"/>
          <w:szCs w:val="24"/>
        </w:rPr>
        <w:t>131.801.244</w:t>
      </w:r>
      <w:r>
        <w:rPr>
          <w:rFonts w:ascii="Times New Roman" w:hAnsi="Times New Roman"/>
          <w:bCs/>
          <w:color w:val="000000"/>
          <w:sz w:val="24"/>
          <w:szCs w:val="24"/>
          <w:lang w:val="sr-Cyrl-CS"/>
        </w:rPr>
        <w:t xml:space="preserve"> </w:t>
      </w:r>
      <w:r w:rsidRPr="008F1106">
        <w:rPr>
          <w:rFonts w:ascii="Times New Roman" w:hAnsi="Times New Roman"/>
          <w:sz w:val="24"/>
          <w:szCs w:val="24"/>
        </w:rPr>
        <w:t xml:space="preserve">динара, од чега за плате запослених у претходној години и нових запослених у укупном износу од </w:t>
      </w:r>
      <w:r w:rsidRPr="008F1106">
        <w:rPr>
          <w:rFonts w:ascii="Times New Roman" w:hAnsi="Times New Roman"/>
          <w:bCs/>
          <w:color w:val="000000"/>
          <w:sz w:val="24"/>
          <w:szCs w:val="24"/>
        </w:rPr>
        <w:t>107.896.244</w:t>
      </w:r>
      <w:r>
        <w:rPr>
          <w:rFonts w:ascii="Times New Roman" w:hAnsi="Times New Roman"/>
          <w:bCs/>
          <w:color w:val="000000"/>
          <w:sz w:val="24"/>
          <w:szCs w:val="24"/>
          <w:lang w:val="sr-Cyrl-CS"/>
        </w:rPr>
        <w:t xml:space="preserve"> </w:t>
      </w:r>
      <w:r w:rsidRPr="008F1106">
        <w:rPr>
          <w:rFonts w:ascii="Times New Roman" w:hAnsi="Times New Roman"/>
          <w:sz w:val="24"/>
          <w:szCs w:val="24"/>
        </w:rPr>
        <w:t xml:space="preserve">динара и остале расходе, укупно </w:t>
      </w:r>
      <w:r w:rsidRPr="008F1106">
        <w:rPr>
          <w:rFonts w:ascii="Times New Roman" w:hAnsi="Times New Roman"/>
          <w:bCs/>
          <w:color w:val="000000"/>
          <w:sz w:val="24"/>
          <w:szCs w:val="24"/>
        </w:rPr>
        <w:t xml:space="preserve">23.905.000 </w:t>
      </w:r>
      <w:r w:rsidRPr="008F1106">
        <w:rPr>
          <w:rFonts w:ascii="Times New Roman" w:hAnsi="Times New Roman"/>
          <w:sz w:val="24"/>
          <w:szCs w:val="24"/>
        </w:rPr>
        <w:t xml:space="preserve">динара, од чега за закупнине </w:t>
      </w:r>
      <w:r>
        <w:rPr>
          <w:rFonts w:ascii="Times New Roman" w:hAnsi="Times New Roman"/>
          <w:bCs/>
          <w:color w:val="000000"/>
          <w:sz w:val="24"/>
          <w:szCs w:val="24"/>
        </w:rPr>
        <w:t xml:space="preserve">11.905.000 динара и </w:t>
      </w:r>
      <w:r w:rsidRPr="008F1106">
        <w:rPr>
          <w:rFonts w:ascii="Times New Roman" w:hAnsi="Times New Roman"/>
          <w:bCs/>
          <w:color w:val="000000"/>
          <w:sz w:val="24"/>
          <w:szCs w:val="24"/>
        </w:rPr>
        <w:t>друге текуће</w:t>
      </w:r>
      <w:r>
        <w:rPr>
          <w:rFonts w:ascii="Times New Roman" w:hAnsi="Times New Roman"/>
          <w:bCs/>
          <w:color w:val="000000"/>
          <w:sz w:val="24"/>
          <w:szCs w:val="24"/>
        </w:rPr>
        <w:t xml:space="preserve"> расходе за рад ових органа</w:t>
      </w:r>
      <w:r>
        <w:rPr>
          <w:rFonts w:ascii="Times New Roman" w:hAnsi="Times New Roman"/>
          <w:bCs/>
          <w:color w:val="000000"/>
          <w:sz w:val="24"/>
          <w:szCs w:val="24"/>
          <w:lang w:val="sr-Cyrl-CS"/>
        </w:rPr>
        <w:t xml:space="preserve"> </w:t>
      </w:r>
      <w:r>
        <w:rPr>
          <w:rFonts w:ascii="Times New Roman" w:hAnsi="Times New Roman"/>
          <w:bCs/>
          <w:color w:val="000000"/>
          <w:sz w:val="24"/>
          <w:szCs w:val="24"/>
        </w:rPr>
        <w:t>12.000.000</w:t>
      </w:r>
      <w:r w:rsidRPr="008F1106">
        <w:rPr>
          <w:rFonts w:ascii="Times New Roman" w:hAnsi="Times New Roman"/>
          <w:bCs/>
          <w:color w:val="000000"/>
          <w:sz w:val="24"/>
          <w:szCs w:val="24"/>
        </w:rPr>
        <w:t xml:space="preserve"> динара или за</w:t>
      </w:r>
      <w:r w:rsidRPr="008F1106">
        <w:rPr>
          <w:rFonts w:ascii="Times New Roman" w:hAnsi="Times New Roman"/>
          <w:sz w:val="24"/>
          <w:szCs w:val="24"/>
        </w:rPr>
        <w:t xml:space="preserve"> 42.735.000 динара (</w:t>
      </w:r>
      <w:r w:rsidRPr="008F1106">
        <w:rPr>
          <w:rFonts w:ascii="Times New Roman" w:hAnsi="Times New Roman"/>
          <w:color w:val="000000"/>
          <w:sz w:val="24"/>
          <w:szCs w:val="24"/>
        </w:rPr>
        <w:t>347.440 €) више у односу на претходну годину;</w:t>
      </w:r>
    </w:p>
    <w:p w:rsidR="001251F2" w:rsidRPr="008F1106" w:rsidRDefault="001251F2" w:rsidP="008F1106">
      <w:pPr>
        <w:pStyle w:val="NoSpacing"/>
        <w:ind w:firstLine="720"/>
        <w:jc w:val="both"/>
        <w:rPr>
          <w:rFonts w:ascii="Times New Roman" w:hAnsi="Times New Roman"/>
          <w:sz w:val="24"/>
          <w:szCs w:val="24"/>
        </w:rPr>
      </w:pPr>
      <w:r>
        <w:rPr>
          <w:rFonts w:ascii="Times New Roman" w:hAnsi="Times New Roman"/>
          <w:sz w:val="24"/>
          <w:szCs w:val="24"/>
        </w:rPr>
        <w:t xml:space="preserve">- </w:t>
      </w:r>
      <w:r w:rsidRPr="008F1106">
        <w:rPr>
          <w:rFonts w:ascii="Times New Roman" w:hAnsi="Times New Roman"/>
          <w:sz w:val="24"/>
          <w:szCs w:val="24"/>
        </w:rPr>
        <w:t xml:space="preserve">у 2020. години, потребна су буџетска средства у укупном износу од </w:t>
      </w:r>
      <w:r w:rsidRPr="008F1106">
        <w:rPr>
          <w:rFonts w:ascii="Times New Roman" w:hAnsi="Times New Roman"/>
          <w:bCs/>
          <w:color w:val="000000"/>
          <w:sz w:val="24"/>
          <w:szCs w:val="24"/>
        </w:rPr>
        <w:t xml:space="preserve">174.536.324  </w:t>
      </w:r>
      <w:r w:rsidRPr="008F1106">
        <w:rPr>
          <w:rFonts w:ascii="Times New Roman" w:hAnsi="Times New Roman"/>
          <w:sz w:val="24"/>
          <w:szCs w:val="24"/>
        </w:rPr>
        <w:t>динара, од чега за плате запос</w:t>
      </w:r>
      <w:r>
        <w:rPr>
          <w:rFonts w:ascii="Times New Roman" w:hAnsi="Times New Roman"/>
          <w:sz w:val="24"/>
          <w:szCs w:val="24"/>
        </w:rPr>
        <w:t xml:space="preserve">лених у претходне две године и </w:t>
      </w:r>
      <w:r w:rsidRPr="008F1106">
        <w:rPr>
          <w:rFonts w:ascii="Times New Roman" w:hAnsi="Times New Roman"/>
          <w:sz w:val="24"/>
          <w:szCs w:val="24"/>
        </w:rPr>
        <w:t xml:space="preserve">и нових запослених у укупном износу од </w:t>
      </w:r>
      <w:r>
        <w:rPr>
          <w:rFonts w:ascii="Times New Roman" w:hAnsi="Times New Roman"/>
          <w:bCs/>
          <w:color w:val="000000"/>
          <w:sz w:val="24"/>
          <w:szCs w:val="24"/>
        </w:rPr>
        <w:t>150.631.324</w:t>
      </w:r>
      <w:r w:rsidRPr="008F1106">
        <w:rPr>
          <w:rFonts w:ascii="Times New Roman" w:hAnsi="Times New Roman"/>
          <w:bCs/>
          <w:color w:val="000000"/>
          <w:sz w:val="24"/>
          <w:szCs w:val="24"/>
        </w:rPr>
        <w:t xml:space="preserve"> </w:t>
      </w:r>
      <w:r w:rsidRPr="008F1106">
        <w:rPr>
          <w:rFonts w:ascii="Times New Roman" w:hAnsi="Times New Roman"/>
          <w:sz w:val="24"/>
          <w:szCs w:val="24"/>
        </w:rPr>
        <w:t xml:space="preserve">динара и остале расходе, укупно </w:t>
      </w:r>
      <w:r w:rsidRPr="008F1106">
        <w:rPr>
          <w:rFonts w:ascii="Times New Roman" w:hAnsi="Times New Roman"/>
          <w:bCs/>
          <w:color w:val="000000"/>
          <w:sz w:val="24"/>
          <w:szCs w:val="24"/>
        </w:rPr>
        <w:t xml:space="preserve">23.905.000 </w:t>
      </w:r>
      <w:r w:rsidRPr="008F1106">
        <w:rPr>
          <w:rFonts w:ascii="Times New Roman" w:hAnsi="Times New Roman"/>
          <w:sz w:val="24"/>
          <w:szCs w:val="24"/>
        </w:rPr>
        <w:t xml:space="preserve">динара, од чега за закупнине </w:t>
      </w:r>
      <w:r>
        <w:rPr>
          <w:rFonts w:ascii="Times New Roman" w:hAnsi="Times New Roman"/>
          <w:bCs/>
          <w:color w:val="000000"/>
          <w:sz w:val="24"/>
          <w:szCs w:val="24"/>
        </w:rPr>
        <w:t xml:space="preserve">11.905.000 </w:t>
      </w:r>
      <w:r w:rsidRPr="008F1106">
        <w:rPr>
          <w:rFonts w:ascii="Times New Roman" w:hAnsi="Times New Roman"/>
          <w:bCs/>
          <w:color w:val="000000"/>
          <w:sz w:val="24"/>
          <w:szCs w:val="24"/>
        </w:rPr>
        <w:t xml:space="preserve">динара и  друге текуће расходе </w:t>
      </w:r>
      <w:r>
        <w:rPr>
          <w:rFonts w:ascii="Times New Roman" w:hAnsi="Times New Roman"/>
          <w:bCs/>
          <w:color w:val="000000"/>
          <w:sz w:val="24"/>
          <w:szCs w:val="24"/>
        </w:rPr>
        <w:t xml:space="preserve">за рад  ових органа 12.000.000 </w:t>
      </w:r>
      <w:r w:rsidRPr="008F1106">
        <w:rPr>
          <w:rFonts w:ascii="Times New Roman" w:hAnsi="Times New Roman"/>
          <w:bCs/>
          <w:color w:val="000000"/>
          <w:sz w:val="24"/>
          <w:szCs w:val="24"/>
        </w:rPr>
        <w:t>динара, или за</w:t>
      </w:r>
      <w:r w:rsidRPr="008F1106">
        <w:rPr>
          <w:rFonts w:ascii="Times New Roman" w:hAnsi="Times New Roman"/>
          <w:sz w:val="24"/>
          <w:szCs w:val="24"/>
        </w:rPr>
        <w:t xml:space="preserve"> 42.735.000 динара (</w:t>
      </w:r>
      <w:r w:rsidRPr="008F1106">
        <w:rPr>
          <w:rFonts w:ascii="Times New Roman" w:hAnsi="Times New Roman"/>
          <w:color w:val="000000"/>
          <w:sz w:val="24"/>
          <w:szCs w:val="24"/>
        </w:rPr>
        <w:t xml:space="preserve">347.440 €) више у односу на претходну годину, а </w:t>
      </w:r>
    </w:p>
    <w:p w:rsidR="001251F2" w:rsidRDefault="001251F2" w:rsidP="008F1106">
      <w:pPr>
        <w:pStyle w:val="NoSpacing"/>
        <w:ind w:firstLine="720"/>
        <w:jc w:val="both"/>
        <w:rPr>
          <w:rFonts w:ascii="Times New Roman" w:hAnsi="Times New Roman"/>
          <w:color w:val="000000"/>
          <w:sz w:val="24"/>
          <w:szCs w:val="24"/>
        </w:rPr>
      </w:pPr>
      <w:r>
        <w:rPr>
          <w:rFonts w:ascii="Times New Roman" w:hAnsi="Times New Roman"/>
          <w:sz w:val="24"/>
          <w:szCs w:val="24"/>
        </w:rPr>
        <w:t xml:space="preserve">- </w:t>
      </w:r>
      <w:r w:rsidRPr="008F1106">
        <w:rPr>
          <w:rFonts w:ascii="Times New Roman" w:hAnsi="Times New Roman"/>
          <w:sz w:val="24"/>
          <w:szCs w:val="24"/>
        </w:rPr>
        <w:t xml:space="preserve">у 2021. години, потребна су буџетска средства у укупном износу од </w:t>
      </w:r>
      <w:r w:rsidRPr="008F1106">
        <w:rPr>
          <w:rFonts w:ascii="Times New Roman" w:hAnsi="Times New Roman"/>
          <w:bCs/>
          <w:color w:val="000000"/>
          <w:sz w:val="24"/>
          <w:szCs w:val="24"/>
        </w:rPr>
        <w:t xml:space="preserve">217.271.404 </w:t>
      </w:r>
      <w:r w:rsidRPr="008F1106">
        <w:rPr>
          <w:rFonts w:ascii="Times New Roman" w:hAnsi="Times New Roman"/>
          <w:sz w:val="24"/>
          <w:szCs w:val="24"/>
        </w:rPr>
        <w:t>динара, од чега за п</w:t>
      </w:r>
      <w:r>
        <w:rPr>
          <w:rFonts w:ascii="Times New Roman" w:hAnsi="Times New Roman"/>
          <w:sz w:val="24"/>
          <w:szCs w:val="24"/>
        </w:rPr>
        <w:t>лате запослених у претходне три</w:t>
      </w:r>
      <w:r w:rsidRPr="008F1106">
        <w:rPr>
          <w:rFonts w:ascii="Times New Roman" w:hAnsi="Times New Roman"/>
          <w:sz w:val="24"/>
          <w:szCs w:val="24"/>
        </w:rPr>
        <w:t xml:space="preserve"> године и нових запослених у укупном износу од </w:t>
      </w:r>
      <w:r w:rsidRPr="008F1106">
        <w:rPr>
          <w:rFonts w:ascii="Times New Roman" w:hAnsi="Times New Roman"/>
          <w:bCs/>
          <w:color w:val="000000"/>
          <w:sz w:val="24"/>
          <w:szCs w:val="24"/>
        </w:rPr>
        <w:t xml:space="preserve">193.366.404 </w:t>
      </w:r>
      <w:r w:rsidRPr="008F1106">
        <w:rPr>
          <w:rFonts w:ascii="Times New Roman" w:hAnsi="Times New Roman"/>
          <w:sz w:val="24"/>
          <w:szCs w:val="24"/>
        </w:rPr>
        <w:t xml:space="preserve">динара и остале расходе, укупно </w:t>
      </w:r>
      <w:r w:rsidRPr="008F1106">
        <w:rPr>
          <w:rFonts w:ascii="Times New Roman" w:hAnsi="Times New Roman"/>
          <w:bCs/>
          <w:color w:val="000000"/>
          <w:sz w:val="24"/>
          <w:szCs w:val="24"/>
        </w:rPr>
        <w:t xml:space="preserve">23.905.000 </w:t>
      </w:r>
      <w:r w:rsidRPr="008F1106">
        <w:rPr>
          <w:rFonts w:ascii="Times New Roman" w:hAnsi="Times New Roman"/>
          <w:sz w:val="24"/>
          <w:szCs w:val="24"/>
        </w:rPr>
        <w:t xml:space="preserve">динара, од чега за закупнине </w:t>
      </w:r>
      <w:r w:rsidRPr="008F1106">
        <w:rPr>
          <w:rFonts w:ascii="Times New Roman" w:hAnsi="Times New Roman"/>
          <w:bCs/>
          <w:color w:val="000000"/>
          <w:sz w:val="24"/>
          <w:szCs w:val="24"/>
        </w:rPr>
        <w:t>11.905.000 динара и друге текуће расходе за ових органа 12.000.000 динара или за</w:t>
      </w:r>
      <w:r w:rsidRPr="008F1106">
        <w:rPr>
          <w:rFonts w:ascii="Times New Roman" w:hAnsi="Times New Roman"/>
          <w:sz w:val="24"/>
          <w:szCs w:val="24"/>
        </w:rPr>
        <w:t xml:space="preserve"> 42.735.000 динара (</w:t>
      </w:r>
      <w:r w:rsidRPr="008F1106">
        <w:rPr>
          <w:rFonts w:ascii="Times New Roman" w:hAnsi="Times New Roman"/>
          <w:color w:val="000000"/>
          <w:sz w:val="24"/>
          <w:szCs w:val="24"/>
        </w:rPr>
        <w:t>347.440 €) више у односу на претходну годину.</w:t>
      </w:r>
    </w:p>
    <w:p w:rsidR="001251F2" w:rsidRPr="008F1106" w:rsidRDefault="001251F2" w:rsidP="008F1106">
      <w:pPr>
        <w:pStyle w:val="NoSpacing"/>
        <w:ind w:firstLine="720"/>
        <w:jc w:val="both"/>
        <w:rPr>
          <w:rFonts w:ascii="Times New Roman" w:hAnsi="Times New Roman"/>
          <w:sz w:val="24"/>
          <w:szCs w:val="24"/>
        </w:rPr>
      </w:pPr>
    </w:p>
    <w:p w:rsidR="001251F2" w:rsidRPr="006348D2" w:rsidRDefault="001251F2" w:rsidP="008F1106">
      <w:pPr>
        <w:pStyle w:val="NoSpacing"/>
        <w:ind w:firstLine="720"/>
        <w:jc w:val="both"/>
        <w:rPr>
          <w:rFonts w:ascii="Times New Roman" w:hAnsi="Times New Roman"/>
          <w:bCs/>
          <w:color w:val="000000"/>
          <w:sz w:val="24"/>
          <w:szCs w:val="24"/>
          <w:lang w:val="sr-Cyrl-CS"/>
        </w:rPr>
      </w:pPr>
      <w:r w:rsidRPr="008F1106">
        <w:rPr>
          <w:rFonts w:ascii="Times New Roman" w:hAnsi="Times New Roman"/>
          <w:sz w:val="24"/>
          <w:szCs w:val="24"/>
        </w:rPr>
        <w:t xml:space="preserve">Из овога произилази да укупна средства за спровођење овог закона у 2018, 2019, 2020. и 2021. години  износе </w:t>
      </w:r>
      <w:r w:rsidRPr="008F1106">
        <w:rPr>
          <w:rFonts w:ascii="Times New Roman" w:hAnsi="Times New Roman"/>
          <w:bCs/>
          <w:color w:val="000000"/>
          <w:sz w:val="24"/>
          <w:szCs w:val="24"/>
        </w:rPr>
        <w:t xml:space="preserve">612.675.136 </w:t>
      </w:r>
      <w:r w:rsidRPr="008F1106">
        <w:rPr>
          <w:rFonts w:ascii="Times New Roman" w:hAnsi="Times New Roman"/>
          <w:sz w:val="24"/>
          <w:szCs w:val="24"/>
        </w:rPr>
        <w:t xml:space="preserve">динара, од чега за плате </w:t>
      </w:r>
      <w:r w:rsidRPr="008F1106">
        <w:rPr>
          <w:rFonts w:ascii="Times New Roman" w:hAnsi="Times New Roman"/>
          <w:bCs/>
          <w:color w:val="000000"/>
          <w:sz w:val="24"/>
          <w:szCs w:val="24"/>
        </w:rPr>
        <w:t xml:space="preserve">517.055.136 </w:t>
      </w:r>
      <w:r w:rsidRPr="008F1106">
        <w:rPr>
          <w:rFonts w:ascii="Times New Roman" w:hAnsi="Times New Roman"/>
          <w:sz w:val="24"/>
          <w:szCs w:val="24"/>
        </w:rPr>
        <w:t xml:space="preserve">динара, а за остале трошкове </w:t>
      </w:r>
      <w:r w:rsidRPr="008F1106">
        <w:rPr>
          <w:rFonts w:ascii="Times New Roman" w:hAnsi="Times New Roman"/>
          <w:bCs/>
          <w:color w:val="000000"/>
          <w:sz w:val="24"/>
          <w:szCs w:val="24"/>
        </w:rPr>
        <w:t xml:space="preserve">95.620.000 </w:t>
      </w:r>
      <w:r w:rsidRPr="008F1106">
        <w:rPr>
          <w:rFonts w:ascii="Times New Roman" w:hAnsi="Times New Roman"/>
          <w:sz w:val="24"/>
          <w:szCs w:val="24"/>
        </w:rPr>
        <w:t xml:space="preserve">динара, при чему  за закупнине </w:t>
      </w:r>
      <w:r w:rsidRPr="008F1106">
        <w:rPr>
          <w:rFonts w:ascii="Times New Roman" w:hAnsi="Times New Roman"/>
          <w:bCs/>
          <w:color w:val="000000"/>
          <w:sz w:val="24"/>
          <w:szCs w:val="24"/>
        </w:rPr>
        <w:t>47.620.000</w:t>
      </w:r>
      <w:r w:rsidRPr="008F1106">
        <w:rPr>
          <w:rFonts w:ascii="Times New Roman" w:hAnsi="Times New Roman"/>
          <w:sz w:val="24"/>
          <w:szCs w:val="24"/>
        </w:rPr>
        <w:t xml:space="preserve"> </w:t>
      </w:r>
      <w:r w:rsidRPr="008F1106">
        <w:rPr>
          <w:rFonts w:ascii="Times New Roman" w:hAnsi="Times New Roman"/>
          <w:bCs/>
          <w:color w:val="000000"/>
          <w:sz w:val="24"/>
          <w:szCs w:val="24"/>
        </w:rPr>
        <w:t xml:space="preserve">динара и 48.000.000 динара за  друге текуће </w:t>
      </w:r>
      <w:r>
        <w:rPr>
          <w:rFonts w:ascii="Times New Roman" w:hAnsi="Times New Roman"/>
          <w:bCs/>
          <w:color w:val="000000"/>
          <w:sz w:val="24"/>
          <w:szCs w:val="24"/>
        </w:rPr>
        <w:t xml:space="preserve">расходе за рад  ових органа. </w:t>
      </w:r>
    </w:p>
    <w:p w:rsidR="001251F2" w:rsidRDefault="001251F2" w:rsidP="008F1106">
      <w:pPr>
        <w:pStyle w:val="NoSpacing"/>
        <w:jc w:val="both"/>
        <w:rPr>
          <w:rFonts w:ascii="Times New Roman" w:hAnsi="Times New Roman"/>
          <w:strike/>
          <w:sz w:val="24"/>
          <w:szCs w:val="24"/>
        </w:rPr>
      </w:pPr>
    </w:p>
    <w:p w:rsidR="001251F2" w:rsidRDefault="001251F2" w:rsidP="008F1106">
      <w:pPr>
        <w:pStyle w:val="NoSpacing"/>
        <w:jc w:val="both"/>
        <w:rPr>
          <w:rFonts w:ascii="Times New Roman" w:hAnsi="Times New Roman"/>
          <w:strike/>
          <w:sz w:val="24"/>
          <w:szCs w:val="24"/>
        </w:rPr>
      </w:pPr>
    </w:p>
    <w:p w:rsidR="001251F2" w:rsidRDefault="001251F2" w:rsidP="0065205B">
      <w:pPr>
        <w:pStyle w:val="NoSpacing"/>
        <w:ind w:firstLine="720"/>
        <w:jc w:val="both"/>
        <w:rPr>
          <w:rFonts w:ascii="Times New Roman" w:hAnsi="Times New Roman"/>
          <w:b/>
          <w:sz w:val="24"/>
          <w:szCs w:val="24"/>
        </w:rPr>
      </w:pPr>
      <w:r w:rsidRPr="0065205B">
        <w:rPr>
          <w:rFonts w:ascii="Times New Roman" w:hAnsi="Times New Roman"/>
          <w:b/>
          <w:sz w:val="24"/>
          <w:szCs w:val="24"/>
        </w:rPr>
        <w:t>V. РАЗЛОЗИ ЗА ДОНОШЕЊЕ ЗАКОНА ПО ХИТНОМ ПОСТУПКУ</w:t>
      </w:r>
    </w:p>
    <w:p w:rsidR="001251F2" w:rsidRDefault="001251F2" w:rsidP="0065205B">
      <w:pPr>
        <w:pStyle w:val="NoSpacing"/>
        <w:ind w:firstLine="720"/>
        <w:jc w:val="both"/>
        <w:rPr>
          <w:rFonts w:ascii="Times New Roman" w:hAnsi="Times New Roman"/>
          <w:b/>
          <w:sz w:val="24"/>
          <w:szCs w:val="24"/>
        </w:rPr>
      </w:pPr>
    </w:p>
    <w:p w:rsidR="001251F2" w:rsidRPr="0065205B" w:rsidRDefault="001251F2" w:rsidP="0065205B">
      <w:pPr>
        <w:pStyle w:val="NoSpacing"/>
        <w:ind w:firstLine="720"/>
        <w:jc w:val="both"/>
        <w:rPr>
          <w:rFonts w:ascii="Times New Roman" w:hAnsi="Times New Roman"/>
          <w:sz w:val="24"/>
          <w:szCs w:val="24"/>
        </w:rPr>
      </w:pPr>
      <w:r>
        <w:rPr>
          <w:rFonts w:ascii="Times New Roman" w:hAnsi="Times New Roman"/>
          <w:sz w:val="24"/>
          <w:szCs w:val="24"/>
        </w:rPr>
        <w:t>Предлаже се да се закон донесе по хитном поступку због испуњења међународних обавеза Републике Србије преузетих у процесу придруживања Европској унији.</w:t>
      </w:r>
    </w:p>
    <w:sectPr w:rsidR="001251F2" w:rsidRPr="0065205B" w:rsidSect="00E11845">
      <w:headerReference w:type="even" r:id="rId6"/>
      <w:headerReference w:type="default" r:id="rId7"/>
      <w:footerReference w:type="default" r:id="rId8"/>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1F2" w:rsidRDefault="001251F2" w:rsidP="00B209D0">
      <w:pPr>
        <w:spacing w:after="0" w:line="240" w:lineRule="auto"/>
      </w:pPr>
      <w:r>
        <w:separator/>
      </w:r>
    </w:p>
  </w:endnote>
  <w:endnote w:type="continuationSeparator" w:id="0">
    <w:p w:rsidR="001251F2" w:rsidRDefault="001251F2" w:rsidP="00B20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1F2" w:rsidRDefault="001251F2">
    <w:pPr>
      <w:pStyle w:val="Footer"/>
      <w:jc w:val="right"/>
    </w:pPr>
  </w:p>
  <w:p w:rsidR="001251F2" w:rsidRDefault="001251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1F2" w:rsidRDefault="001251F2" w:rsidP="00B209D0">
      <w:pPr>
        <w:spacing w:after="0" w:line="240" w:lineRule="auto"/>
      </w:pPr>
      <w:r>
        <w:separator/>
      </w:r>
    </w:p>
  </w:footnote>
  <w:footnote w:type="continuationSeparator" w:id="0">
    <w:p w:rsidR="001251F2" w:rsidRDefault="001251F2" w:rsidP="00B209D0">
      <w:pPr>
        <w:spacing w:after="0" w:line="240" w:lineRule="auto"/>
      </w:pPr>
      <w:r>
        <w:continuationSeparator/>
      </w:r>
    </w:p>
  </w:footnote>
  <w:footnote w:id="1">
    <w:p w:rsidR="001251F2" w:rsidRDefault="001251F2" w:rsidP="008F1106">
      <w:pPr>
        <w:pStyle w:val="FootnoteText"/>
      </w:pPr>
      <w:r w:rsidRPr="0062167D">
        <w:rPr>
          <w:rStyle w:val="FootnoteReference"/>
          <w:rFonts w:ascii="Times New Roman" w:hAnsi="Times New Roman"/>
        </w:rPr>
        <w:footnoteRef/>
      </w:r>
      <w:r w:rsidRPr="0062167D">
        <w:rPr>
          <w:rFonts w:ascii="Times New Roman" w:hAnsi="Times New Roman"/>
        </w:rPr>
        <w:t xml:space="preserve">  курс за 1€=123 РСД</w:t>
      </w:r>
    </w:p>
  </w:footnote>
  <w:footnote w:id="2">
    <w:p w:rsidR="001251F2" w:rsidRPr="00321165" w:rsidRDefault="001251F2" w:rsidP="008F1106">
      <w:pPr>
        <w:pStyle w:val="FootnoteText"/>
        <w:rPr>
          <w:rFonts w:ascii="Times New Roman" w:hAnsi="Times New Roman"/>
        </w:rPr>
      </w:pPr>
      <w:r>
        <w:rPr>
          <w:rStyle w:val="FootnoteReference"/>
        </w:rPr>
        <w:footnoteRef/>
      </w:r>
      <w:r>
        <w:t xml:space="preserve"> </w:t>
      </w:r>
      <w:r w:rsidRPr="00321165">
        <w:rPr>
          <w:rStyle w:val="FootnoteReference"/>
          <w:rFonts w:ascii="Times New Roman" w:hAnsi="Times New Roman"/>
        </w:rPr>
        <w:footnoteRef/>
      </w:r>
      <w:r w:rsidRPr="00321165">
        <w:rPr>
          <w:rFonts w:ascii="Times New Roman" w:hAnsi="Times New Roman"/>
        </w:rPr>
        <w:t xml:space="preserve"> </w:t>
      </w:r>
      <w:r>
        <w:rPr>
          <w:rFonts w:ascii="Times New Roman" w:hAnsi="Times New Roman"/>
        </w:rPr>
        <w:t>О</w:t>
      </w:r>
      <w:r w:rsidRPr="00321165">
        <w:rPr>
          <w:rFonts w:ascii="Times New Roman" w:hAnsi="Times New Roman"/>
        </w:rPr>
        <w:t>вај број заменика јавног тужиоца се  у 2018. години обезбеђује прерасподелом по</w:t>
      </w:r>
      <w:r>
        <w:rPr>
          <w:rFonts w:ascii="Times New Roman" w:hAnsi="Times New Roman"/>
        </w:rPr>
        <w:t>с</w:t>
      </w:r>
      <w:r w:rsidRPr="00321165">
        <w:rPr>
          <w:rFonts w:ascii="Times New Roman" w:hAnsi="Times New Roman"/>
        </w:rPr>
        <w:t>тојећег броја, без пријема нових</w:t>
      </w:r>
    </w:p>
    <w:p w:rsidR="001251F2" w:rsidRDefault="001251F2" w:rsidP="008F1106">
      <w:pPr>
        <w:pStyle w:val="FootnoteText"/>
      </w:pPr>
    </w:p>
  </w:footnote>
  <w:footnote w:id="3">
    <w:p w:rsidR="001251F2" w:rsidRDefault="001251F2" w:rsidP="008F1106">
      <w:pPr>
        <w:pStyle w:val="FootnoteText"/>
      </w:pPr>
      <w:r w:rsidRPr="00321165">
        <w:rPr>
          <w:rStyle w:val="FootnoteReference"/>
          <w:rFonts w:ascii="Times New Roman" w:hAnsi="Times New Roman"/>
        </w:rPr>
        <w:footnoteRef/>
      </w:r>
      <w:r w:rsidRPr="00321165">
        <w:rPr>
          <w:rFonts w:ascii="Times New Roman" w:hAnsi="Times New Roman"/>
        </w:rPr>
        <w:t xml:space="preserve"> </w:t>
      </w:r>
      <w:r>
        <w:rPr>
          <w:rFonts w:ascii="Times New Roman" w:hAnsi="Times New Roman"/>
        </w:rPr>
        <w:t>О</w:t>
      </w:r>
      <w:r w:rsidRPr="00321165">
        <w:rPr>
          <w:rFonts w:ascii="Times New Roman" w:hAnsi="Times New Roman"/>
        </w:rPr>
        <w:t>вај број заменика јавног тужиоца се  у 2018. години обезбеђује прерасподелом по</w:t>
      </w:r>
      <w:r>
        <w:rPr>
          <w:rFonts w:ascii="Times New Roman" w:hAnsi="Times New Roman"/>
        </w:rPr>
        <w:t>с</w:t>
      </w:r>
      <w:r w:rsidRPr="00321165">
        <w:rPr>
          <w:rFonts w:ascii="Times New Roman" w:hAnsi="Times New Roman"/>
        </w:rPr>
        <w:t>тојећег броја, без пријема нових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1F2" w:rsidRDefault="001251F2" w:rsidP="00E118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51F2" w:rsidRDefault="001251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1F2" w:rsidRDefault="001251F2">
    <w:pPr>
      <w:pStyle w:val="Header"/>
      <w:jc w:val="center"/>
    </w:pPr>
    <w:fldSimple w:instr=" PAGE   \* MERGEFORMAT ">
      <w:r>
        <w:rPr>
          <w:noProof/>
        </w:rPr>
        <w:t>14</w:t>
      </w:r>
    </w:fldSimple>
  </w:p>
  <w:p w:rsidR="001251F2" w:rsidRDefault="001251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1157"/>
    <w:rsid w:val="00014652"/>
    <w:rsid w:val="00034265"/>
    <w:rsid w:val="000361E3"/>
    <w:rsid w:val="00042C84"/>
    <w:rsid w:val="000477DD"/>
    <w:rsid w:val="00051965"/>
    <w:rsid w:val="00053789"/>
    <w:rsid w:val="00061131"/>
    <w:rsid w:val="00062373"/>
    <w:rsid w:val="0007496D"/>
    <w:rsid w:val="00084EE0"/>
    <w:rsid w:val="00093D33"/>
    <w:rsid w:val="000C7E82"/>
    <w:rsid w:val="000E16CC"/>
    <w:rsid w:val="000E4761"/>
    <w:rsid w:val="000E552D"/>
    <w:rsid w:val="000F12B5"/>
    <w:rsid w:val="001251F2"/>
    <w:rsid w:val="001632CF"/>
    <w:rsid w:val="00173037"/>
    <w:rsid w:val="001758AC"/>
    <w:rsid w:val="0018020B"/>
    <w:rsid w:val="00183A8B"/>
    <w:rsid w:val="00192C02"/>
    <w:rsid w:val="00193027"/>
    <w:rsid w:val="00193C17"/>
    <w:rsid w:val="001A0F13"/>
    <w:rsid w:val="001A2447"/>
    <w:rsid w:val="001A3815"/>
    <w:rsid w:val="001A66D3"/>
    <w:rsid w:val="001C0E4D"/>
    <w:rsid w:val="001D092B"/>
    <w:rsid w:val="001D5116"/>
    <w:rsid w:val="001E5CF3"/>
    <w:rsid w:val="001F3460"/>
    <w:rsid w:val="00216B35"/>
    <w:rsid w:val="00230A4C"/>
    <w:rsid w:val="00230C37"/>
    <w:rsid w:val="00240A6D"/>
    <w:rsid w:val="00241DEE"/>
    <w:rsid w:val="0024340D"/>
    <w:rsid w:val="00245FB8"/>
    <w:rsid w:val="00252244"/>
    <w:rsid w:val="0026120B"/>
    <w:rsid w:val="00265B46"/>
    <w:rsid w:val="00272490"/>
    <w:rsid w:val="0027590D"/>
    <w:rsid w:val="00277DA5"/>
    <w:rsid w:val="00283F0D"/>
    <w:rsid w:val="00284D21"/>
    <w:rsid w:val="00286A26"/>
    <w:rsid w:val="002915A5"/>
    <w:rsid w:val="0029442F"/>
    <w:rsid w:val="002B333E"/>
    <w:rsid w:val="002D0D2A"/>
    <w:rsid w:val="002D561E"/>
    <w:rsid w:val="002D7155"/>
    <w:rsid w:val="0030063D"/>
    <w:rsid w:val="00303651"/>
    <w:rsid w:val="00305389"/>
    <w:rsid w:val="00313112"/>
    <w:rsid w:val="0031435E"/>
    <w:rsid w:val="00321165"/>
    <w:rsid w:val="003353B1"/>
    <w:rsid w:val="00335821"/>
    <w:rsid w:val="003359B0"/>
    <w:rsid w:val="00337EB6"/>
    <w:rsid w:val="00366F29"/>
    <w:rsid w:val="00367973"/>
    <w:rsid w:val="00372A1A"/>
    <w:rsid w:val="003768E3"/>
    <w:rsid w:val="0037693A"/>
    <w:rsid w:val="00384821"/>
    <w:rsid w:val="00392325"/>
    <w:rsid w:val="003940A1"/>
    <w:rsid w:val="003956C1"/>
    <w:rsid w:val="003A2609"/>
    <w:rsid w:val="003B016C"/>
    <w:rsid w:val="003C7059"/>
    <w:rsid w:val="003C7D98"/>
    <w:rsid w:val="003E314B"/>
    <w:rsid w:val="003E74AB"/>
    <w:rsid w:val="003F3576"/>
    <w:rsid w:val="00406C8A"/>
    <w:rsid w:val="0041224A"/>
    <w:rsid w:val="004166FE"/>
    <w:rsid w:val="00424B8F"/>
    <w:rsid w:val="004255E0"/>
    <w:rsid w:val="00426E55"/>
    <w:rsid w:val="004317AA"/>
    <w:rsid w:val="004404F3"/>
    <w:rsid w:val="004418E2"/>
    <w:rsid w:val="0044261A"/>
    <w:rsid w:val="00442BCF"/>
    <w:rsid w:val="004534E8"/>
    <w:rsid w:val="00460352"/>
    <w:rsid w:val="00461445"/>
    <w:rsid w:val="0048613F"/>
    <w:rsid w:val="004900A5"/>
    <w:rsid w:val="00492AF2"/>
    <w:rsid w:val="004936FB"/>
    <w:rsid w:val="00495CC9"/>
    <w:rsid w:val="004974FB"/>
    <w:rsid w:val="004A7DB7"/>
    <w:rsid w:val="004B4A08"/>
    <w:rsid w:val="004C25FB"/>
    <w:rsid w:val="004D7AC4"/>
    <w:rsid w:val="004F3B8D"/>
    <w:rsid w:val="004F487C"/>
    <w:rsid w:val="004F4928"/>
    <w:rsid w:val="004F619D"/>
    <w:rsid w:val="004F76D5"/>
    <w:rsid w:val="00503145"/>
    <w:rsid w:val="00505533"/>
    <w:rsid w:val="005066D8"/>
    <w:rsid w:val="00514E17"/>
    <w:rsid w:val="005259D9"/>
    <w:rsid w:val="00525D54"/>
    <w:rsid w:val="0053041A"/>
    <w:rsid w:val="0053371C"/>
    <w:rsid w:val="0054094D"/>
    <w:rsid w:val="00544491"/>
    <w:rsid w:val="00553482"/>
    <w:rsid w:val="0055618F"/>
    <w:rsid w:val="0055756B"/>
    <w:rsid w:val="00577691"/>
    <w:rsid w:val="0058131A"/>
    <w:rsid w:val="0058673B"/>
    <w:rsid w:val="00586F1E"/>
    <w:rsid w:val="00591CA6"/>
    <w:rsid w:val="00594C1A"/>
    <w:rsid w:val="00595661"/>
    <w:rsid w:val="005B4F73"/>
    <w:rsid w:val="005D36DF"/>
    <w:rsid w:val="005D4A31"/>
    <w:rsid w:val="005D784A"/>
    <w:rsid w:val="005F6A9B"/>
    <w:rsid w:val="005F78A3"/>
    <w:rsid w:val="00612929"/>
    <w:rsid w:val="00615A43"/>
    <w:rsid w:val="0062167D"/>
    <w:rsid w:val="00633D00"/>
    <w:rsid w:val="006348D2"/>
    <w:rsid w:val="0065205B"/>
    <w:rsid w:val="00656523"/>
    <w:rsid w:val="00664FDA"/>
    <w:rsid w:val="00670A7F"/>
    <w:rsid w:val="00672025"/>
    <w:rsid w:val="00672C37"/>
    <w:rsid w:val="00675876"/>
    <w:rsid w:val="00684758"/>
    <w:rsid w:val="006951E1"/>
    <w:rsid w:val="0069611C"/>
    <w:rsid w:val="006C0242"/>
    <w:rsid w:val="006C0822"/>
    <w:rsid w:val="006C3F7B"/>
    <w:rsid w:val="006D2142"/>
    <w:rsid w:val="006D699C"/>
    <w:rsid w:val="006D75D9"/>
    <w:rsid w:val="006D7E76"/>
    <w:rsid w:val="00712821"/>
    <w:rsid w:val="00715029"/>
    <w:rsid w:val="00723AAC"/>
    <w:rsid w:val="00725B6D"/>
    <w:rsid w:val="007326D4"/>
    <w:rsid w:val="00736462"/>
    <w:rsid w:val="00737DAA"/>
    <w:rsid w:val="00746CC0"/>
    <w:rsid w:val="0076458B"/>
    <w:rsid w:val="00776912"/>
    <w:rsid w:val="00782098"/>
    <w:rsid w:val="007840E9"/>
    <w:rsid w:val="00790D3B"/>
    <w:rsid w:val="00791E72"/>
    <w:rsid w:val="007A29CE"/>
    <w:rsid w:val="007A4EE0"/>
    <w:rsid w:val="007A5633"/>
    <w:rsid w:val="007A6C8C"/>
    <w:rsid w:val="007B07FD"/>
    <w:rsid w:val="007B16AE"/>
    <w:rsid w:val="007C3B16"/>
    <w:rsid w:val="007D0D76"/>
    <w:rsid w:val="007E0860"/>
    <w:rsid w:val="007E4079"/>
    <w:rsid w:val="007E6A2B"/>
    <w:rsid w:val="007F348B"/>
    <w:rsid w:val="00800E05"/>
    <w:rsid w:val="008025A7"/>
    <w:rsid w:val="0080744E"/>
    <w:rsid w:val="00823984"/>
    <w:rsid w:val="008312F4"/>
    <w:rsid w:val="00836936"/>
    <w:rsid w:val="00846E5D"/>
    <w:rsid w:val="00861B17"/>
    <w:rsid w:val="00876BBD"/>
    <w:rsid w:val="0088015A"/>
    <w:rsid w:val="0089527E"/>
    <w:rsid w:val="00897D76"/>
    <w:rsid w:val="008A5201"/>
    <w:rsid w:val="008B1AEF"/>
    <w:rsid w:val="008C23AB"/>
    <w:rsid w:val="008C36C7"/>
    <w:rsid w:val="008C4911"/>
    <w:rsid w:val="008D0D7D"/>
    <w:rsid w:val="008D2CEF"/>
    <w:rsid w:val="008D561A"/>
    <w:rsid w:val="008E70FD"/>
    <w:rsid w:val="008F0391"/>
    <w:rsid w:val="008F0404"/>
    <w:rsid w:val="008F067E"/>
    <w:rsid w:val="008F1106"/>
    <w:rsid w:val="008F136A"/>
    <w:rsid w:val="008F1373"/>
    <w:rsid w:val="008F20D1"/>
    <w:rsid w:val="008F384C"/>
    <w:rsid w:val="008F64F8"/>
    <w:rsid w:val="008F7A71"/>
    <w:rsid w:val="009033DF"/>
    <w:rsid w:val="00903FF4"/>
    <w:rsid w:val="00907145"/>
    <w:rsid w:val="009121A9"/>
    <w:rsid w:val="00914805"/>
    <w:rsid w:val="00917DD1"/>
    <w:rsid w:val="0092117B"/>
    <w:rsid w:val="0093061B"/>
    <w:rsid w:val="009319A2"/>
    <w:rsid w:val="00932292"/>
    <w:rsid w:val="00934D1D"/>
    <w:rsid w:val="0093676E"/>
    <w:rsid w:val="009447BF"/>
    <w:rsid w:val="00952937"/>
    <w:rsid w:val="00961EB7"/>
    <w:rsid w:val="009677BE"/>
    <w:rsid w:val="0098056B"/>
    <w:rsid w:val="00982D1E"/>
    <w:rsid w:val="0098707E"/>
    <w:rsid w:val="009A17C8"/>
    <w:rsid w:val="009A1E22"/>
    <w:rsid w:val="009A6E4F"/>
    <w:rsid w:val="009A76DD"/>
    <w:rsid w:val="009E2F7A"/>
    <w:rsid w:val="009F43BE"/>
    <w:rsid w:val="00A01944"/>
    <w:rsid w:val="00A02D3F"/>
    <w:rsid w:val="00A03B11"/>
    <w:rsid w:val="00A04343"/>
    <w:rsid w:val="00A110FD"/>
    <w:rsid w:val="00A17684"/>
    <w:rsid w:val="00A21B11"/>
    <w:rsid w:val="00A23F72"/>
    <w:rsid w:val="00A36635"/>
    <w:rsid w:val="00A37AC9"/>
    <w:rsid w:val="00A53042"/>
    <w:rsid w:val="00A6185B"/>
    <w:rsid w:val="00A61B3C"/>
    <w:rsid w:val="00A6713D"/>
    <w:rsid w:val="00A734EC"/>
    <w:rsid w:val="00A8521E"/>
    <w:rsid w:val="00AA0629"/>
    <w:rsid w:val="00AB7AD0"/>
    <w:rsid w:val="00AC0246"/>
    <w:rsid w:val="00AC12BF"/>
    <w:rsid w:val="00AD2430"/>
    <w:rsid w:val="00AD51FD"/>
    <w:rsid w:val="00AD615A"/>
    <w:rsid w:val="00B00B97"/>
    <w:rsid w:val="00B11A47"/>
    <w:rsid w:val="00B1568A"/>
    <w:rsid w:val="00B209B5"/>
    <w:rsid w:val="00B209D0"/>
    <w:rsid w:val="00B20F31"/>
    <w:rsid w:val="00B3485D"/>
    <w:rsid w:val="00B47E3F"/>
    <w:rsid w:val="00B5147D"/>
    <w:rsid w:val="00B568E4"/>
    <w:rsid w:val="00B66260"/>
    <w:rsid w:val="00B70D6A"/>
    <w:rsid w:val="00B9377C"/>
    <w:rsid w:val="00BA3AF7"/>
    <w:rsid w:val="00BA64F6"/>
    <w:rsid w:val="00BA6EB1"/>
    <w:rsid w:val="00BA767F"/>
    <w:rsid w:val="00BC31AE"/>
    <w:rsid w:val="00BC60EA"/>
    <w:rsid w:val="00BF0148"/>
    <w:rsid w:val="00BF4BB0"/>
    <w:rsid w:val="00BF5FAE"/>
    <w:rsid w:val="00C11757"/>
    <w:rsid w:val="00C119B1"/>
    <w:rsid w:val="00C24D94"/>
    <w:rsid w:val="00C25630"/>
    <w:rsid w:val="00C26C97"/>
    <w:rsid w:val="00C270DC"/>
    <w:rsid w:val="00C3177C"/>
    <w:rsid w:val="00C333E6"/>
    <w:rsid w:val="00C35435"/>
    <w:rsid w:val="00C36916"/>
    <w:rsid w:val="00C41433"/>
    <w:rsid w:val="00C42C6F"/>
    <w:rsid w:val="00C4329F"/>
    <w:rsid w:val="00C43818"/>
    <w:rsid w:val="00C451FA"/>
    <w:rsid w:val="00C464A0"/>
    <w:rsid w:val="00C467E0"/>
    <w:rsid w:val="00C501DB"/>
    <w:rsid w:val="00C51157"/>
    <w:rsid w:val="00C62E5A"/>
    <w:rsid w:val="00C676D5"/>
    <w:rsid w:val="00C7169F"/>
    <w:rsid w:val="00C8005E"/>
    <w:rsid w:val="00C82084"/>
    <w:rsid w:val="00C83DDB"/>
    <w:rsid w:val="00C87F0F"/>
    <w:rsid w:val="00C9343E"/>
    <w:rsid w:val="00CA1B4E"/>
    <w:rsid w:val="00CA2854"/>
    <w:rsid w:val="00CB362C"/>
    <w:rsid w:val="00CC0F92"/>
    <w:rsid w:val="00CC0FAE"/>
    <w:rsid w:val="00CC344E"/>
    <w:rsid w:val="00CC3866"/>
    <w:rsid w:val="00CC4302"/>
    <w:rsid w:val="00CE10CB"/>
    <w:rsid w:val="00CE665F"/>
    <w:rsid w:val="00CE6AEF"/>
    <w:rsid w:val="00CF74E2"/>
    <w:rsid w:val="00D01747"/>
    <w:rsid w:val="00D02C33"/>
    <w:rsid w:val="00D13F20"/>
    <w:rsid w:val="00D20567"/>
    <w:rsid w:val="00D20D42"/>
    <w:rsid w:val="00D303FC"/>
    <w:rsid w:val="00D3225C"/>
    <w:rsid w:val="00D61501"/>
    <w:rsid w:val="00D62ADA"/>
    <w:rsid w:val="00D7224D"/>
    <w:rsid w:val="00D73631"/>
    <w:rsid w:val="00D743AB"/>
    <w:rsid w:val="00D769C5"/>
    <w:rsid w:val="00D77675"/>
    <w:rsid w:val="00D866C4"/>
    <w:rsid w:val="00D947AD"/>
    <w:rsid w:val="00D94948"/>
    <w:rsid w:val="00DA2AED"/>
    <w:rsid w:val="00DA4D95"/>
    <w:rsid w:val="00DB3D94"/>
    <w:rsid w:val="00DB6282"/>
    <w:rsid w:val="00DC33D2"/>
    <w:rsid w:val="00DD278E"/>
    <w:rsid w:val="00DE0A20"/>
    <w:rsid w:val="00DE117C"/>
    <w:rsid w:val="00DE46EF"/>
    <w:rsid w:val="00DF1765"/>
    <w:rsid w:val="00DF47FD"/>
    <w:rsid w:val="00DF5F98"/>
    <w:rsid w:val="00DF7915"/>
    <w:rsid w:val="00E02E7C"/>
    <w:rsid w:val="00E11845"/>
    <w:rsid w:val="00E13F0A"/>
    <w:rsid w:val="00E14C1A"/>
    <w:rsid w:val="00E157E1"/>
    <w:rsid w:val="00E165E9"/>
    <w:rsid w:val="00E234E0"/>
    <w:rsid w:val="00E301EF"/>
    <w:rsid w:val="00E42B6F"/>
    <w:rsid w:val="00E45DC7"/>
    <w:rsid w:val="00E50698"/>
    <w:rsid w:val="00E57043"/>
    <w:rsid w:val="00E6341E"/>
    <w:rsid w:val="00E67340"/>
    <w:rsid w:val="00E75D76"/>
    <w:rsid w:val="00E82728"/>
    <w:rsid w:val="00E86B77"/>
    <w:rsid w:val="00EA51B3"/>
    <w:rsid w:val="00EB14AD"/>
    <w:rsid w:val="00EB2750"/>
    <w:rsid w:val="00EC43CC"/>
    <w:rsid w:val="00EC60F2"/>
    <w:rsid w:val="00EC7A24"/>
    <w:rsid w:val="00ED37E7"/>
    <w:rsid w:val="00EE274C"/>
    <w:rsid w:val="00F12341"/>
    <w:rsid w:val="00F159EF"/>
    <w:rsid w:val="00F21371"/>
    <w:rsid w:val="00F217B9"/>
    <w:rsid w:val="00F30CE9"/>
    <w:rsid w:val="00F31C9E"/>
    <w:rsid w:val="00F3318C"/>
    <w:rsid w:val="00F337ED"/>
    <w:rsid w:val="00F47762"/>
    <w:rsid w:val="00F47D8F"/>
    <w:rsid w:val="00F62E9A"/>
    <w:rsid w:val="00F70B8A"/>
    <w:rsid w:val="00F777D7"/>
    <w:rsid w:val="00F85099"/>
    <w:rsid w:val="00F944E0"/>
    <w:rsid w:val="00F95FA0"/>
    <w:rsid w:val="00FA547E"/>
    <w:rsid w:val="00FA6FC7"/>
    <w:rsid w:val="00FB7D25"/>
    <w:rsid w:val="00FC07B6"/>
    <w:rsid w:val="00FE640B"/>
    <w:rsid w:val="00FF28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157"/>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C51157"/>
    <w:pPr>
      <w:spacing w:before="100" w:beforeAutospacing="1" w:after="100" w:afterAutospacing="1" w:line="240" w:lineRule="auto"/>
    </w:pPr>
    <w:rPr>
      <w:rFonts w:ascii="Arial" w:hAnsi="Arial" w:cs="Arial"/>
      <w:lang w:val="en-GB" w:eastAsia="en-GB"/>
    </w:rPr>
  </w:style>
  <w:style w:type="paragraph" w:styleId="Header">
    <w:name w:val="header"/>
    <w:basedOn w:val="Normal"/>
    <w:link w:val="HeaderChar"/>
    <w:uiPriority w:val="99"/>
    <w:rsid w:val="00C51157"/>
    <w:pPr>
      <w:tabs>
        <w:tab w:val="center" w:pos="4320"/>
        <w:tab w:val="right" w:pos="8640"/>
      </w:tabs>
      <w:spacing w:after="0" w:line="240" w:lineRule="auto"/>
    </w:pPr>
    <w:rPr>
      <w:rFonts w:ascii="CTimesRoman" w:hAnsi="CTimesRoman"/>
      <w:sz w:val="24"/>
      <w:szCs w:val="20"/>
    </w:rPr>
  </w:style>
  <w:style w:type="character" w:customStyle="1" w:styleId="HeaderChar">
    <w:name w:val="Header Char"/>
    <w:basedOn w:val="DefaultParagraphFont"/>
    <w:link w:val="Header"/>
    <w:uiPriority w:val="99"/>
    <w:locked/>
    <w:rsid w:val="00C51157"/>
    <w:rPr>
      <w:rFonts w:ascii="CTimesRoman" w:hAnsi="CTimesRoman" w:cs="Times New Roman"/>
      <w:sz w:val="20"/>
      <w:szCs w:val="20"/>
    </w:rPr>
  </w:style>
  <w:style w:type="character" w:styleId="PageNumber">
    <w:name w:val="page number"/>
    <w:basedOn w:val="DefaultParagraphFont"/>
    <w:uiPriority w:val="99"/>
    <w:rsid w:val="00C51157"/>
    <w:rPr>
      <w:rFonts w:cs="Times New Roman"/>
    </w:rPr>
  </w:style>
  <w:style w:type="paragraph" w:styleId="ListParagraph">
    <w:name w:val="List Paragraph"/>
    <w:basedOn w:val="Normal"/>
    <w:uiPriority w:val="99"/>
    <w:qFormat/>
    <w:rsid w:val="00C51157"/>
    <w:pPr>
      <w:spacing w:after="0" w:line="240" w:lineRule="auto"/>
      <w:ind w:left="720"/>
      <w:contextualSpacing/>
      <w:jc w:val="both"/>
    </w:pPr>
    <w:rPr>
      <w:rFonts w:ascii="Times New Roman" w:hAnsi="Times New Roman"/>
      <w:sz w:val="24"/>
      <w:szCs w:val="24"/>
    </w:rPr>
  </w:style>
  <w:style w:type="paragraph" w:styleId="Footer">
    <w:name w:val="footer"/>
    <w:basedOn w:val="Normal"/>
    <w:link w:val="FooterChar"/>
    <w:uiPriority w:val="99"/>
    <w:rsid w:val="00B209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209D0"/>
    <w:rPr>
      <w:rFonts w:ascii="Calibri" w:hAnsi="Calibri" w:cs="Times New Roman"/>
    </w:rPr>
  </w:style>
  <w:style w:type="paragraph" w:styleId="NoSpacing">
    <w:name w:val="No Spacing"/>
    <w:link w:val="NoSpacingChar"/>
    <w:uiPriority w:val="99"/>
    <w:qFormat/>
    <w:rsid w:val="00F85099"/>
    <w:rPr>
      <w:rFonts w:eastAsia="Times New Roman"/>
      <w:lang w:eastAsia="ja-JP"/>
    </w:rPr>
  </w:style>
  <w:style w:type="character" w:customStyle="1" w:styleId="NoSpacingChar">
    <w:name w:val="No Spacing Char"/>
    <w:link w:val="NoSpacing"/>
    <w:uiPriority w:val="99"/>
    <w:locked/>
    <w:rsid w:val="00F85099"/>
    <w:rPr>
      <w:rFonts w:eastAsia="Times New Roman"/>
      <w:sz w:val="22"/>
      <w:lang w:eastAsia="ja-JP"/>
    </w:rPr>
  </w:style>
  <w:style w:type="paragraph" w:customStyle="1" w:styleId="wyq060---pododeljak">
    <w:name w:val="wyq060---pododeljak"/>
    <w:basedOn w:val="Normal"/>
    <w:uiPriority w:val="99"/>
    <w:rsid w:val="003353B1"/>
    <w:pPr>
      <w:spacing w:after="0" w:line="240" w:lineRule="auto"/>
      <w:jc w:val="center"/>
    </w:pPr>
    <w:rPr>
      <w:rFonts w:ascii="Arial" w:hAnsi="Arial" w:cs="Arial"/>
      <w:sz w:val="31"/>
      <w:szCs w:val="31"/>
    </w:rPr>
  </w:style>
  <w:style w:type="paragraph" w:styleId="BalloonText">
    <w:name w:val="Balloon Text"/>
    <w:basedOn w:val="Normal"/>
    <w:link w:val="BalloonTextChar"/>
    <w:uiPriority w:val="99"/>
    <w:semiHidden/>
    <w:rsid w:val="00591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1CA6"/>
    <w:rPr>
      <w:rFonts w:ascii="Tahoma" w:hAnsi="Tahoma" w:cs="Tahoma"/>
      <w:sz w:val="16"/>
      <w:szCs w:val="16"/>
    </w:rPr>
  </w:style>
  <w:style w:type="paragraph" w:styleId="FootnoteText">
    <w:name w:val="footnote text"/>
    <w:basedOn w:val="Normal"/>
    <w:link w:val="FootnoteTextChar"/>
    <w:uiPriority w:val="99"/>
    <w:semiHidden/>
    <w:rsid w:val="00C333E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333E6"/>
    <w:rPr>
      <w:rFonts w:eastAsia="Times New Roman" w:cs="Times New Roman"/>
      <w:sz w:val="20"/>
      <w:szCs w:val="20"/>
    </w:rPr>
  </w:style>
  <w:style w:type="character" w:styleId="FootnoteReference">
    <w:name w:val="footnote reference"/>
    <w:basedOn w:val="DefaultParagraphFont"/>
    <w:uiPriority w:val="99"/>
    <w:semiHidden/>
    <w:rsid w:val="00C333E6"/>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5134762">
      <w:marLeft w:val="0"/>
      <w:marRight w:val="0"/>
      <w:marTop w:val="0"/>
      <w:marBottom w:val="0"/>
      <w:divBdr>
        <w:top w:val="none" w:sz="0" w:space="0" w:color="auto"/>
        <w:left w:val="none" w:sz="0" w:space="0" w:color="auto"/>
        <w:bottom w:val="none" w:sz="0" w:space="0" w:color="auto"/>
        <w:right w:val="none" w:sz="0" w:space="0" w:color="auto"/>
      </w:divBdr>
    </w:div>
    <w:div w:id="5134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14</Pages>
  <Words>5275</Words>
  <Characters>30069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daktilo03</cp:lastModifiedBy>
  <cp:revision>15</cp:revision>
  <cp:lastPrinted>2016-11-09T11:55:00Z</cp:lastPrinted>
  <dcterms:created xsi:type="dcterms:W3CDTF">2016-11-09T07:32:00Z</dcterms:created>
  <dcterms:modified xsi:type="dcterms:W3CDTF">2016-11-09T11:55:00Z</dcterms:modified>
</cp:coreProperties>
</file>