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E3" w:rsidRPr="00A67300" w:rsidRDefault="006961E3" w:rsidP="006130E2">
      <w:pPr>
        <w:ind w:left="-720" w:firstLine="720"/>
        <w:jc w:val="center"/>
        <w:rPr>
          <w:lang w:val="sr-Cyrl-CS"/>
        </w:rPr>
      </w:pPr>
      <w:r w:rsidRPr="00A67300">
        <w:rPr>
          <w:lang w:val="sr-Cyrl-CS"/>
        </w:rPr>
        <w:t>О Б Р А З Л О Ж Е Њ Е</w:t>
      </w:r>
    </w:p>
    <w:p w:rsidR="00113ACC" w:rsidRPr="00A67300" w:rsidRDefault="00113ACC" w:rsidP="006130E2">
      <w:pPr>
        <w:ind w:left="-720" w:firstLine="720"/>
        <w:jc w:val="center"/>
        <w:rPr>
          <w:lang w:val="sr-Cyrl-CS"/>
        </w:rPr>
      </w:pPr>
    </w:p>
    <w:p w:rsidR="00FC1322" w:rsidRPr="00A67300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A67300" w:rsidRDefault="006961E3" w:rsidP="006130E2">
      <w:pPr>
        <w:rPr>
          <w:bCs/>
          <w:lang w:val="sr-Cyrl-CS"/>
        </w:rPr>
      </w:pPr>
      <w:r w:rsidRPr="00A67300">
        <w:rPr>
          <w:bCs/>
          <w:lang w:val="sr-Cyrl-CS"/>
        </w:rPr>
        <w:t xml:space="preserve"> </w:t>
      </w:r>
      <w:r w:rsidRPr="00A67300">
        <w:rPr>
          <w:bCs/>
          <w:lang w:val="sr-Cyrl-CS"/>
        </w:rPr>
        <w:tab/>
        <w:t>I. УСТАВНИ ОСНОВ ЗА ДОНОШЕЊЕ ЗАКОНА</w:t>
      </w:r>
    </w:p>
    <w:p w:rsidR="006961E3" w:rsidRPr="00A67300" w:rsidRDefault="006961E3" w:rsidP="006130E2">
      <w:pPr>
        <w:rPr>
          <w:bCs/>
          <w:lang w:val="sr-Cyrl-CS"/>
        </w:rPr>
      </w:pPr>
    </w:p>
    <w:p w:rsidR="0040226C" w:rsidRPr="00A67300" w:rsidRDefault="006961E3" w:rsidP="006130E2">
      <w:pPr>
        <w:jc w:val="both"/>
        <w:rPr>
          <w:lang w:val="sr-Cyrl-CS"/>
        </w:rPr>
      </w:pPr>
      <w:r w:rsidRPr="00A67300">
        <w:rPr>
          <w:lang w:val="sr-Cyrl-CS"/>
        </w:rPr>
        <w:t xml:space="preserve"> </w:t>
      </w:r>
      <w:r w:rsidRPr="00A67300">
        <w:rPr>
          <w:lang w:val="sr-Cyrl-CS"/>
        </w:rPr>
        <w:tab/>
      </w:r>
      <w:r w:rsidR="0040226C" w:rsidRPr="00A67300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A67300">
        <w:rPr>
          <w:lang w:val="sr-Cyrl-CS"/>
        </w:rPr>
        <w:t xml:space="preserve"> </w:t>
      </w:r>
    </w:p>
    <w:p w:rsidR="006961E3" w:rsidRPr="00A67300" w:rsidRDefault="0040226C" w:rsidP="006130E2">
      <w:pPr>
        <w:jc w:val="both"/>
        <w:rPr>
          <w:lang w:val="sr-Cyrl-CS"/>
        </w:rPr>
      </w:pPr>
      <w:r w:rsidRPr="00A67300">
        <w:rPr>
          <w:lang w:val="sr-Cyrl-CS"/>
        </w:rPr>
        <w:t xml:space="preserve"> </w:t>
      </w:r>
    </w:p>
    <w:p w:rsidR="006961E3" w:rsidRPr="00A67300" w:rsidRDefault="006961E3" w:rsidP="006130E2">
      <w:pPr>
        <w:ind w:firstLine="720"/>
        <w:jc w:val="both"/>
        <w:rPr>
          <w:lang w:val="sr-Cyrl-CS"/>
        </w:rPr>
      </w:pPr>
      <w:r w:rsidRPr="00A67300">
        <w:rPr>
          <w:bCs/>
          <w:lang w:val="sr-Cyrl-CS"/>
        </w:rPr>
        <w:t xml:space="preserve"> II. РАЗЛОЗИ ЗА ДОНОШЕЊЕ ЗАКОНА</w:t>
      </w:r>
      <w:r w:rsidR="0069359B" w:rsidRPr="00A67300">
        <w:rPr>
          <w:bCs/>
          <w:lang w:val="sr-Cyrl-CS"/>
        </w:rPr>
        <w:t xml:space="preserve"> - ПОТВРЂИВАЊЕ</w:t>
      </w:r>
    </w:p>
    <w:p w:rsidR="006961E3" w:rsidRPr="00A67300" w:rsidRDefault="006961E3" w:rsidP="006130E2">
      <w:pPr>
        <w:rPr>
          <w:bCs/>
          <w:lang w:val="sr-Cyrl-CS"/>
        </w:rPr>
      </w:pPr>
    </w:p>
    <w:p w:rsidR="00E80D89" w:rsidRPr="00A67300" w:rsidRDefault="00E80D89" w:rsidP="0038219E">
      <w:pPr>
        <w:ind w:firstLine="708"/>
        <w:jc w:val="both"/>
        <w:rPr>
          <w:lang w:val="sr-Cyrl-CS"/>
        </w:rPr>
      </w:pPr>
      <w:r w:rsidRPr="00A67300">
        <w:rPr>
          <w:lang w:val="sr-Cyrl-CS"/>
        </w:rPr>
        <w:t xml:space="preserve">Разлози за доношење Закона о потврђивању </w:t>
      </w:r>
      <w:r w:rsidR="0038219E" w:rsidRPr="00A67300">
        <w:rPr>
          <w:lang w:val="sr-Cyrl-CS"/>
        </w:rPr>
        <w:t xml:space="preserve">финансијског уговора </w:t>
      </w:r>
      <w:r w:rsidR="007C7A6D" w:rsidRPr="00A67300">
        <w:rPr>
          <w:lang w:val="sr-Cyrl-CS"/>
        </w:rPr>
        <w:t>„Унапређење објеката правосудних органа Б” између Републике Србије и Европске инвестиционе банке</w:t>
      </w:r>
      <w:r w:rsidR="00BA558F" w:rsidRPr="00A67300">
        <w:rPr>
          <w:lang w:val="sr-Cyrl-CS"/>
        </w:rPr>
        <w:t>,</w:t>
      </w:r>
      <w:r w:rsidR="00356442" w:rsidRPr="00A67300">
        <w:rPr>
          <w:lang w:val="sr-Cyrl-CS"/>
        </w:rPr>
        <w:t xml:space="preserve"> који је потписан </w:t>
      </w:r>
      <w:r w:rsidR="007C7A6D" w:rsidRPr="00A67300">
        <w:rPr>
          <w:lang w:val="sr-Cyrl-CS"/>
        </w:rPr>
        <w:t>28</w:t>
      </w:r>
      <w:r w:rsidR="00356442" w:rsidRPr="00A67300">
        <w:rPr>
          <w:lang w:val="sr-Cyrl-CS"/>
        </w:rPr>
        <w:t>. н</w:t>
      </w:r>
      <w:r w:rsidR="007C7A6D" w:rsidRPr="00A67300">
        <w:rPr>
          <w:lang w:val="sr-Cyrl-CS"/>
        </w:rPr>
        <w:t>овембр</w:t>
      </w:r>
      <w:r w:rsidR="00356442" w:rsidRPr="00A67300">
        <w:rPr>
          <w:lang w:val="sr-Cyrl-CS"/>
        </w:rPr>
        <w:t>а 2016. године у Београду,</w:t>
      </w:r>
      <w:r w:rsidRPr="00A67300">
        <w:rPr>
          <w:lang w:val="sr-Cyrl-CS"/>
        </w:rPr>
        <w:t xml:space="preserve"> садржани су у одредби члана 5. став 2. Закона о јавном дугу („Службени гласник РС”,</w:t>
      </w:r>
      <w:r w:rsidR="00356442" w:rsidRPr="00A67300">
        <w:rPr>
          <w:lang w:val="sr-Cyrl-CS"/>
        </w:rPr>
        <w:t xml:space="preserve"> </w:t>
      </w:r>
      <w:r w:rsidRPr="00A67300">
        <w:rPr>
          <w:lang w:val="sr-Cyrl-CS"/>
        </w:rPr>
        <w:t>бр. 61/05, 107/09 и 78/11) према којој Народна скупштина Републике Србије одлучује о задуживању Републике Србије</w:t>
      </w:r>
      <w:r w:rsidR="0038219E" w:rsidRPr="00A67300">
        <w:rPr>
          <w:lang w:val="sr-Cyrl-CS"/>
        </w:rPr>
        <w:t xml:space="preserve"> и одредби члана 14</w:t>
      </w:r>
      <w:r w:rsidRPr="00A67300">
        <w:rPr>
          <w:lang w:val="sr-Cyrl-CS"/>
        </w:rPr>
        <w:t>.</w:t>
      </w:r>
      <w:r w:rsidR="0038219E" w:rsidRPr="00A67300">
        <w:rPr>
          <w:lang w:val="sr-Cyrl-CS"/>
        </w:rPr>
        <w:t xml:space="preserve"> став 1. Закона о закључивању и извршавању међународних уговора („Службени гласник РС</w:t>
      </w:r>
      <w:r w:rsidR="001A3B02" w:rsidRPr="00A67300">
        <w:rPr>
          <w:lang w:val="sr-Cyrl-CS"/>
        </w:rPr>
        <w:t>”</w:t>
      </w:r>
      <w:r w:rsidR="0038219E" w:rsidRPr="00A67300">
        <w:rPr>
          <w:lang w:val="sr-Cyrl-CS"/>
        </w:rPr>
        <w:t>, број 32/13).</w:t>
      </w:r>
    </w:p>
    <w:p w:rsidR="007C7A6D" w:rsidRPr="00A67300" w:rsidRDefault="007C7A6D" w:rsidP="00726477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Законом о буџету Републике Србије за 2016. годину („Службени гласник Републике Србије”, број 103/15) предвиђено је задуживање Републике Србије код Европске инвестиционе банке </w:t>
      </w:r>
      <w:r w:rsidR="00D74AEF" w:rsidRPr="00A67300">
        <w:rPr>
          <w:lang w:val="sr-Cyrl-CS"/>
        </w:rPr>
        <w:t xml:space="preserve">(у даљем тексту: ЕИБ) </w:t>
      </w:r>
      <w:r w:rsidRPr="00A67300">
        <w:rPr>
          <w:lang w:val="sr-Cyrl-CS"/>
        </w:rPr>
        <w:t>за Пројекат унапређења објеката правосудних органа II фаза до 15.000.000 евра и Пројекат унапређења објеката правосудних органа III фаза до 11.000.000 евра.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Пројекат унапређења објеката правосудних органа (у даљем тексту: Пројекат) представља интегрални део реформе судства у Републици Србији и важан корак у процесу европских интеграција. Као саставни део Националне стратегије за реформу правосуђа, Пројекат има за циљ унапређење правде у Републици Србији кроз изградњу, реконструкцију и реновирање објеката које користе правосудни органи и повезаних објеката инфраструктуре. Пројектом је обухваћен програм инвестиција одређен од стране Министарства правде у периоду  2011-2018. године и односи се на 22 потпројекта опремања, реконструкције и изградње објеката правосудних органа Републике Србије, од којих се три кључна потпројекта финансирају из кредита ЕИБ, и то: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- реконструкција објекта - Палата правде у Београду, у вредности од око 20 милиона евра;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- реконструкција објекта - бившег Војно-техничког института у Катанићевој улици у Београду, за потребе смештаја правосудних органа, у вредности од око 10 милиона евра;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- изградња објекта за потребе Тужилаштва за организовани криминал у Устаничкој улици у Београду, у вредности од око 11 милиона евра.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Преосталих 19 потпројеката, у вредности од око 43,23 милиона евра, који се односе на реновирање или унапређење објеката основних, прекршајних и апелационих судова, као и објеката тужилаштва сп</w:t>
      </w:r>
      <w:bookmarkStart w:id="0" w:name="_GoBack"/>
      <w:bookmarkEnd w:id="0"/>
      <w:r w:rsidRPr="00A67300">
        <w:rPr>
          <w:lang w:val="sr-Cyrl-CS"/>
        </w:rPr>
        <w:t xml:space="preserve">роводиће се на подручјима одређених локалних самоуправа. Пројекат такође обухвата и инвестиције у реконструкцију </w:t>
      </w:r>
      <w:proofErr w:type="spellStart"/>
      <w:r w:rsidRPr="00A67300">
        <w:rPr>
          <w:lang w:val="sr-Cyrl-CS"/>
        </w:rPr>
        <w:t>електро-инсталација</w:t>
      </w:r>
      <w:proofErr w:type="spellEnd"/>
      <w:r w:rsidRPr="00A67300">
        <w:rPr>
          <w:lang w:val="sr-Cyrl-CS"/>
        </w:rPr>
        <w:t xml:space="preserve"> у објектима правосудних органа, што ће омогућити да се 34 основна суда и 16 привредних судова прикључе на јединствену компјутерску мрежу.  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Финансијским уговором (Унапређење објеката правосудних органа) између Републике Србије и ЕИБ, који је закључен 20. октобра 2011. године у Београду и </w:t>
      </w:r>
      <w:r w:rsidRPr="00A67300">
        <w:rPr>
          <w:lang w:val="sr-Cyrl-CS"/>
        </w:rPr>
        <w:lastRenderedPageBreak/>
        <w:t xml:space="preserve">25. октобра 2011. године у Луксембургу, ЕИБ се сагласила да Републици Србији стави на располагање кредит у износу од 45.000.000 евра за финансирање Пројекта унапређења објеката правосудних органа, који је првобитно обухватао 16 </w:t>
      </w:r>
      <w:proofErr w:type="spellStart"/>
      <w:r w:rsidRPr="00A67300">
        <w:rPr>
          <w:lang w:val="sr-Cyrl-CS"/>
        </w:rPr>
        <w:t>потпројеката</w:t>
      </w:r>
      <w:proofErr w:type="spellEnd"/>
      <w:r w:rsidRPr="00A67300">
        <w:rPr>
          <w:lang w:val="sr-Cyrl-CS"/>
        </w:rPr>
        <w:t xml:space="preserve"> и чија је укупна вредност тада била процењена на 91.440.000 евра. Наведеним уговором Републици Србији је одобрена прва кредитна линија у износу од 15 милиона евра. 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Услед прилагођавања измењеним потребама правосудног система у Републици Србији, односно измене мреже судова по предлогу Радне групе за реформу правосуђа, дошло је и до промене броја објеката за које је п</w:t>
      </w:r>
      <w:r w:rsidR="00D74AEF" w:rsidRPr="00A67300">
        <w:rPr>
          <w:lang w:val="sr-Cyrl-CS"/>
        </w:rPr>
        <w:t>редвиђено</w:t>
      </w:r>
      <w:r w:rsidRPr="00A67300">
        <w:rPr>
          <w:lang w:val="sr-Cyrl-CS"/>
        </w:rPr>
        <w:t xml:space="preserve"> финансирање</w:t>
      </w:r>
      <w:r w:rsidR="00D74AEF" w:rsidRPr="00A67300">
        <w:rPr>
          <w:lang w:val="sr-Cyrl-CS"/>
        </w:rPr>
        <w:t xml:space="preserve"> из средстава ЕИБ</w:t>
      </w:r>
      <w:r w:rsidRPr="00A67300">
        <w:rPr>
          <w:lang w:val="sr-Cyrl-CS"/>
        </w:rPr>
        <w:t xml:space="preserve">. Број </w:t>
      </w:r>
      <w:proofErr w:type="spellStart"/>
      <w:r w:rsidRPr="00A67300">
        <w:rPr>
          <w:lang w:val="sr-Cyrl-CS"/>
        </w:rPr>
        <w:t>потпројеката</w:t>
      </w:r>
      <w:proofErr w:type="spellEnd"/>
      <w:r w:rsidRPr="00A67300">
        <w:rPr>
          <w:lang w:val="sr-Cyrl-CS"/>
        </w:rPr>
        <w:t xml:space="preserve"> повећан је са 16 на 22, а потребна средства за реализацију тако измењеног пројекта процењена су на 84.230.000 евра, од чега ЕИБ, у виду кредита, обезбеђује 41.000.000 евра, уместо првобитно предвиђених 45.000.000 евра, док ће се преосталих 43.230.000 евра финансирати из средстава буџета Републике Србије. Ова измена резултирала је Уговором о изменама и допунама Финансијског уговора, који је између Републике Србије и ЕИБ потписан 28. априла 2014. године у Луксембургу и 15. маја 2014. године у Београду.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Средства прве кредитне линије била су опредељена за реконструкцију објекта у Катанићевој улици у Београду, која је успешно завршена, омогућивши да се у адаптирани објекат уселе правосудни органи према плану, али и привремено сместе неки од расељених судова из Палате правде, како би започела и реконструкција ове зграде. Како су преостала средства из првог кредита недовољна за предвиђене радове на Палати правде, потребно је закључити нови финансијски уговор и активирати нову кредитну линију за реализацију наредних фаза Пројекта.</w:t>
      </w:r>
    </w:p>
    <w:p w:rsidR="007C7A6D" w:rsidRPr="00A67300" w:rsidRDefault="007C7A6D" w:rsidP="007C7A6D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Закључком Владе 05 Број: 48-13144/2015 од 11. децембра 2015. године утврђена је </w:t>
      </w:r>
      <w:proofErr w:type="spellStart"/>
      <w:r w:rsidRPr="00A67300">
        <w:rPr>
          <w:lang w:val="sr-Cyrl-CS"/>
        </w:rPr>
        <w:t>Oснова</w:t>
      </w:r>
      <w:proofErr w:type="spellEnd"/>
      <w:r w:rsidRPr="00A67300">
        <w:rPr>
          <w:lang w:val="sr-Cyrl-CS"/>
        </w:rPr>
        <w:t xml:space="preserve"> за вођење преговора са Европском инвестиционом банком у вези са одобравањем кредита за спровођење II фазе Пројекта унапређења објеката правосудних органа и одређен састав делегације Републике Србије. </w:t>
      </w:r>
    </w:p>
    <w:p w:rsidR="00A006B1" w:rsidRPr="00A67300" w:rsidRDefault="00A006B1" w:rsidP="00A006B1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ЕИБ је уважила предлог српске стране да се уместо два одвојена финансијска уговора, појединачно за другу и трећу фазу пројекта (15.000.000 евра + 11.000.000 евра), потпише један уговор, којим би Републици Србији био одобрен кредит у износу од 26.000.000 евра. На тај начин се није изашло из буџетског оквира и законом предвиђеног лимита за задуживање код ове међународне финансијске институције, а уместо два поступка ратификације финансијског уговора, спровешће се један и омогућити да кредитна средства постану оперативна у знатно краћем року.</w:t>
      </w:r>
    </w:p>
    <w:p w:rsidR="007C7A6D" w:rsidRPr="00A67300" w:rsidRDefault="007C7A6D" w:rsidP="00726477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На преговорима са представницима ЕИБ постигнута је сагласност о финансијским условима под којима се одобравају средства за спровођење II</w:t>
      </w:r>
      <w:r w:rsidR="00E613A1" w:rsidRPr="00A67300">
        <w:rPr>
          <w:lang w:val="sr-Cyrl-CS"/>
        </w:rPr>
        <w:t xml:space="preserve"> и III</w:t>
      </w:r>
      <w:r w:rsidRPr="00A67300">
        <w:rPr>
          <w:lang w:val="sr-Cyrl-CS"/>
        </w:rPr>
        <w:t xml:space="preserve"> фазе Пројекта.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Закључком Владе 05 број: 48-10197/2016 од 3. новембра 2016. године, прихваћен је Извештај са преговора са Европском инвестиционом банком у вези са одобравањем кредита за спровођење II и </w:t>
      </w:r>
      <w:proofErr w:type="spellStart"/>
      <w:r w:rsidRPr="00A67300">
        <w:rPr>
          <w:lang w:val="sr-Cyrl-CS"/>
        </w:rPr>
        <w:t>III</w:t>
      </w:r>
      <w:proofErr w:type="spellEnd"/>
      <w:r w:rsidRPr="00A67300">
        <w:rPr>
          <w:lang w:val="sr-Cyrl-CS"/>
        </w:rPr>
        <w:t xml:space="preserve"> </w:t>
      </w:r>
      <w:proofErr w:type="spellStart"/>
      <w:r w:rsidRPr="00A67300">
        <w:rPr>
          <w:lang w:val="sr-Cyrl-CS"/>
        </w:rPr>
        <w:t>фазe</w:t>
      </w:r>
      <w:proofErr w:type="spellEnd"/>
      <w:r w:rsidRPr="00A67300">
        <w:rPr>
          <w:lang w:val="sr-Cyrl-CS"/>
        </w:rPr>
        <w:t xml:space="preserve"> Пројекта унапређења објеката правосудних органа и усвојен Нацрт финансијског уговора „Унапређење објеката правосудних органа Б” између Републике Србије и Европске инвестиционе банке, ради његовог потписивања. 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Ова кредитна линија, одобрава се под следећим финансијским условима: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зајмодавац: Европска инвестициона банка;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зајмопримац: Република Србија, коју представља министар финансија;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промотер: Министарство правде;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износ задужења: 26.000.000 евра;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lastRenderedPageBreak/>
        <w:t>- каматна стопа: могућност зајмопримца да изабере фиксну или варијабилну каматну стопу приликом повлачења транше, као и погодност да се од банке може затражити одређивање нових финансијских услова у погледу каматне стопе која се примењује на каматну основицу од 10 милиона евра или већу</w:t>
      </w:r>
      <w:r w:rsidR="00DB71EA" w:rsidRPr="00A67300">
        <w:rPr>
          <w:lang w:val="sr-Cyrl-CS"/>
        </w:rPr>
        <w:t>,</w:t>
      </w:r>
      <w:r w:rsidRPr="00A67300">
        <w:rPr>
          <w:lang w:val="sr-Cyrl-CS"/>
        </w:rPr>
        <w:t xml:space="preserve"> </w:t>
      </w:r>
      <w:r w:rsidR="00DB71EA" w:rsidRPr="00A67300">
        <w:rPr>
          <w:lang w:val="sr-Cyrl-CS"/>
        </w:rPr>
        <w:t>односно</w:t>
      </w:r>
      <w:r w:rsidRPr="00A67300">
        <w:rPr>
          <w:lang w:val="sr-Cyrl-CS"/>
        </w:rPr>
        <w:t xml:space="preserve"> промену фиксне у варијабилну каматну стопу и обратно; 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 период отплате: 25 година, укључујући 5 година периода почека;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приликом повлачења транше зајмопримац има право избора годишње, полугодишње или кварталне отплате кредита;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крајњи рок расположивости кредитних средстава је 31. децембар 2018. године или каснији датум, који ЕИБ може да одобри на захтев зајмопримца;</w:t>
      </w:r>
    </w:p>
    <w:p w:rsidR="00A006B1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кредит се реализује у највише 10 транши, са минималним износом транше од 2 милиона евра;</w:t>
      </w:r>
    </w:p>
    <w:p w:rsidR="007C7A6D" w:rsidRPr="00A67300" w:rsidRDefault="00A006B1" w:rsidP="00A006B1">
      <w:pPr>
        <w:tabs>
          <w:tab w:val="left" w:pos="360"/>
        </w:tabs>
        <w:ind w:firstLine="720"/>
        <w:jc w:val="both"/>
        <w:rPr>
          <w:lang w:val="sr-Cyrl-CS"/>
        </w:rPr>
      </w:pPr>
      <w:r w:rsidRPr="00A67300">
        <w:rPr>
          <w:lang w:val="sr-Cyrl-CS"/>
        </w:rPr>
        <w:t>- приступна накнада и провизија на неповучена средства се не плаћају.</w:t>
      </w:r>
    </w:p>
    <w:p w:rsidR="00726477" w:rsidRPr="00A67300" w:rsidRDefault="00726477" w:rsidP="00726477">
      <w:pPr>
        <w:ind w:firstLine="708"/>
        <w:jc w:val="both"/>
        <w:rPr>
          <w:lang w:val="sr-Cyrl-CS"/>
        </w:rPr>
      </w:pPr>
    </w:p>
    <w:p w:rsidR="00692046" w:rsidRPr="00A67300" w:rsidRDefault="00692046" w:rsidP="00692046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A67300" w:rsidRDefault="00692046" w:rsidP="00692046">
      <w:pPr>
        <w:jc w:val="both"/>
        <w:rPr>
          <w:lang w:val="sr-Cyrl-CS"/>
        </w:rPr>
      </w:pPr>
    </w:p>
    <w:p w:rsidR="00692046" w:rsidRPr="00A67300" w:rsidRDefault="00692046" w:rsidP="00692046">
      <w:pPr>
        <w:ind w:firstLine="720"/>
        <w:jc w:val="both"/>
        <w:rPr>
          <w:rFonts w:eastAsia="SimSun"/>
          <w:lang w:val="sr-Cyrl-CS"/>
        </w:rPr>
      </w:pPr>
      <w:r w:rsidRPr="00A67300">
        <w:rPr>
          <w:lang w:val="sr-Cyrl-CS"/>
        </w:rPr>
        <w:t>Одредбом члана 1. предвиђа се потврђивање</w:t>
      </w:r>
      <w:r w:rsidR="00746BDE" w:rsidRPr="00A67300">
        <w:rPr>
          <w:rFonts w:eastAsia="SimSun"/>
          <w:lang w:val="sr-Cyrl-CS"/>
        </w:rPr>
        <w:t xml:space="preserve"> Ф</w:t>
      </w:r>
      <w:r w:rsidR="00746BDE" w:rsidRPr="00A67300">
        <w:rPr>
          <w:lang w:val="sr-Cyrl-CS"/>
        </w:rPr>
        <w:t xml:space="preserve">инансијског уговора </w:t>
      </w:r>
      <w:r w:rsidR="00A006B1" w:rsidRPr="00A67300">
        <w:rPr>
          <w:lang w:val="sr-Cyrl-CS"/>
        </w:rPr>
        <w:t>„Унапређење објеката правосудних органа Б” између Републике Србије и Европске инвестиционе банке</w:t>
      </w:r>
      <w:r w:rsidR="00746BDE" w:rsidRPr="00A67300">
        <w:rPr>
          <w:lang w:val="sr-Cyrl-CS"/>
        </w:rPr>
        <w:t xml:space="preserve">, </w:t>
      </w:r>
      <w:r w:rsidR="00746BDE" w:rsidRPr="00A67300">
        <w:rPr>
          <w:rFonts w:eastAsia="SimSun"/>
          <w:lang w:val="sr-Cyrl-CS"/>
        </w:rPr>
        <w:t xml:space="preserve">потписаног </w:t>
      </w:r>
      <w:r w:rsidR="00A006B1" w:rsidRPr="00A67300">
        <w:rPr>
          <w:rFonts w:eastAsia="SimSun"/>
          <w:lang w:val="sr-Cyrl-CS"/>
        </w:rPr>
        <w:t>28. новембра 2016. године у Београду</w:t>
      </w:r>
      <w:r w:rsidRPr="00A67300">
        <w:rPr>
          <w:rFonts w:eastAsia="SimSun"/>
          <w:lang w:val="sr-Cyrl-CS"/>
        </w:rPr>
        <w:t>, у оригиналу на енглеском језику.</w:t>
      </w:r>
    </w:p>
    <w:p w:rsidR="00692046" w:rsidRPr="00A67300" w:rsidRDefault="00692046" w:rsidP="00692046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 Одредба члана 2. садржи текст </w:t>
      </w:r>
      <w:r w:rsidR="00A006B1" w:rsidRPr="00A67300">
        <w:rPr>
          <w:rFonts w:eastAsia="SimSun"/>
          <w:lang w:val="sr-Cyrl-CS"/>
        </w:rPr>
        <w:t>Финансијског уговора „Унапређење објеката правосудних органа Б” између Републике Србије и Европске инвестиционе банке</w:t>
      </w:r>
      <w:r w:rsidRPr="00A67300">
        <w:rPr>
          <w:rFonts w:eastAsia="SimSun"/>
          <w:lang w:val="sr-Cyrl-CS"/>
        </w:rPr>
        <w:t xml:space="preserve">, </w:t>
      </w:r>
      <w:r w:rsidRPr="00A67300">
        <w:rPr>
          <w:lang w:val="sr-Cyrl-CS"/>
        </w:rPr>
        <w:t>у оригиналу на енглеском језику и у преводу на српски језик.</w:t>
      </w:r>
    </w:p>
    <w:p w:rsidR="00692046" w:rsidRPr="00A67300" w:rsidRDefault="00692046" w:rsidP="00692046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 xml:space="preserve">Одредбом члана 3. уређује се ступање на снагу овог закона. </w:t>
      </w:r>
    </w:p>
    <w:p w:rsidR="00692046" w:rsidRPr="00A67300" w:rsidRDefault="00692046" w:rsidP="00692046">
      <w:pPr>
        <w:ind w:firstLine="720"/>
        <w:jc w:val="both"/>
        <w:rPr>
          <w:bCs/>
          <w:lang w:val="sr-Cyrl-CS"/>
        </w:rPr>
      </w:pPr>
    </w:p>
    <w:p w:rsidR="00692046" w:rsidRPr="00A67300" w:rsidRDefault="00692046" w:rsidP="00692046">
      <w:pPr>
        <w:ind w:firstLine="720"/>
        <w:jc w:val="both"/>
        <w:rPr>
          <w:bCs/>
          <w:lang w:val="sr-Cyrl-CS"/>
        </w:rPr>
      </w:pPr>
      <w:r w:rsidRPr="00A67300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:rsidR="00692046" w:rsidRPr="00A67300" w:rsidRDefault="00692046" w:rsidP="00692046">
      <w:pPr>
        <w:jc w:val="both"/>
        <w:rPr>
          <w:lang w:val="sr-Cyrl-CS"/>
        </w:rPr>
      </w:pPr>
    </w:p>
    <w:p w:rsidR="00692046" w:rsidRPr="00A67300" w:rsidRDefault="00692046" w:rsidP="00692046">
      <w:pPr>
        <w:jc w:val="both"/>
        <w:rPr>
          <w:lang w:val="sr-Cyrl-CS"/>
        </w:rPr>
      </w:pPr>
      <w:r w:rsidRPr="00A67300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A67300" w:rsidRDefault="00692046" w:rsidP="00692046">
      <w:pPr>
        <w:jc w:val="both"/>
        <w:rPr>
          <w:lang w:val="sr-Cyrl-CS"/>
        </w:rPr>
      </w:pPr>
    </w:p>
    <w:p w:rsidR="00692046" w:rsidRPr="00A67300" w:rsidRDefault="00692046" w:rsidP="00692046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V. РАЗЛОЗИ ЗА ДОНОШЕЊЕ ЗАКОНА ПО ХИТНОМ ПОСТУПКУ</w:t>
      </w:r>
    </w:p>
    <w:p w:rsidR="00692046" w:rsidRPr="00A67300" w:rsidRDefault="00692046" w:rsidP="00692046">
      <w:pPr>
        <w:ind w:firstLine="720"/>
        <w:jc w:val="both"/>
        <w:rPr>
          <w:lang w:val="sr-Cyrl-CS"/>
        </w:rPr>
      </w:pPr>
    </w:p>
    <w:p w:rsidR="00726477" w:rsidRPr="00A67300" w:rsidRDefault="001A77EC" w:rsidP="00384EA3">
      <w:pPr>
        <w:ind w:firstLine="720"/>
        <w:jc w:val="both"/>
        <w:rPr>
          <w:lang w:val="sr-Cyrl-CS"/>
        </w:rPr>
      </w:pPr>
      <w:r w:rsidRPr="00A67300">
        <w:rPr>
          <w:lang w:val="sr-Cyrl-CS"/>
        </w:rPr>
        <w:t>Разлози з</w:t>
      </w:r>
      <w:r w:rsidR="00692046" w:rsidRPr="00A67300">
        <w:rPr>
          <w:lang w:val="sr-Cyrl-CS"/>
        </w:rPr>
        <w:t xml:space="preserve">а доношење овог закона по хитном поступку, сагласно члану 167. Пословника Народне скупштине </w:t>
      </w:r>
      <w:r w:rsidR="00692046" w:rsidRPr="00A67300">
        <w:rPr>
          <w:rFonts w:ascii="ArialMT" w:hAnsi="ArialMT" w:cs="ArialMT"/>
          <w:lang w:val="sr-Cyrl-CS"/>
        </w:rPr>
        <w:t>(„Служ</w:t>
      </w:r>
      <w:r w:rsidR="00DD0D7B" w:rsidRPr="00A67300">
        <w:rPr>
          <w:rFonts w:ascii="ArialMT" w:hAnsi="ArialMT" w:cs="ArialMT"/>
          <w:lang w:val="sr-Cyrl-CS"/>
        </w:rPr>
        <w:t>бени гласник РС”, број 20/</w:t>
      </w:r>
      <w:proofErr w:type="spellStart"/>
      <w:r w:rsidR="00DD0D7B" w:rsidRPr="00A67300">
        <w:rPr>
          <w:rFonts w:ascii="ArialMT" w:hAnsi="ArialMT" w:cs="ArialMT"/>
          <w:lang w:val="sr-Cyrl-CS"/>
        </w:rPr>
        <w:t>12-</w:t>
      </w:r>
      <w:r w:rsidR="00692046" w:rsidRPr="00A67300">
        <w:rPr>
          <w:rFonts w:ascii="ArialMT" w:hAnsi="ArialMT" w:cs="ArialMT"/>
          <w:lang w:val="sr-Cyrl-CS"/>
        </w:rPr>
        <w:t>пречишћен</w:t>
      </w:r>
      <w:proofErr w:type="spellEnd"/>
      <w:r w:rsidR="00692046" w:rsidRPr="00A67300">
        <w:rPr>
          <w:rFonts w:ascii="ArialMT" w:hAnsi="ArialMT" w:cs="ArialMT"/>
          <w:lang w:val="sr-Cyrl-CS"/>
        </w:rPr>
        <w:t xml:space="preserve"> текст) </w:t>
      </w:r>
      <w:r w:rsidR="00692046" w:rsidRPr="00A67300">
        <w:rPr>
          <w:lang w:val="sr-Cyrl-CS"/>
        </w:rPr>
        <w:t xml:space="preserve">произилазе из чињенице да </w:t>
      </w:r>
      <w:r w:rsidR="00F62120" w:rsidRPr="00A67300">
        <w:rPr>
          <w:lang w:val="sr-Cyrl-CS"/>
        </w:rPr>
        <w:t>је</w:t>
      </w:r>
      <w:r w:rsidR="00692046" w:rsidRPr="00A67300">
        <w:rPr>
          <w:lang w:val="sr-Cyrl-CS"/>
        </w:rPr>
        <w:t xml:space="preserve"> повлачење средстава за финансирање </w:t>
      </w:r>
      <w:r w:rsidR="00802D12" w:rsidRPr="00A67300">
        <w:rPr>
          <w:lang w:val="sr-Cyrl-CS"/>
        </w:rPr>
        <w:t xml:space="preserve">II и </w:t>
      </w:r>
      <w:proofErr w:type="spellStart"/>
      <w:r w:rsidR="00802D12" w:rsidRPr="00A67300">
        <w:rPr>
          <w:lang w:val="sr-Cyrl-CS"/>
        </w:rPr>
        <w:t>III</w:t>
      </w:r>
      <w:proofErr w:type="spellEnd"/>
      <w:r w:rsidR="00802D12" w:rsidRPr="00A67300">
        <w:rPr>
          <w:lang w:val="sr-Cyrl-CS"/>
        </w:rPr>
        <w:t xml:space="preserve"> </w:t>
      </w:r>
      <w:proofErr w:type="spellStart"/>
      <w:r w:rsidR="00802D12" w:rsidRPr="00A67300">
        <w:rPr>
          <w:lang w:val="sr-Cyrl-CS"/>
        </w:rPr>
        <w:t>фазe</w:t>
      </w:r>
      <w:proofErr w:type="spellEnd"/>
      <w:r w:rsidR="00802D12" w:rsidRPr="00A67300">
        <w:rPr>
          <w:lang w:val="sr-Cyrl-CS"/>
        </w:rPr>
        <w:t xml:space="preserve"> Пројекта унапређења објеката правосудних органа</w:t>
      </w:r>
      <w:r w:rsidRPr="00A67300">
        <w:rPr>
          <w:lang w:val="sr-Cyrl-CS"/>
        </w:rPr>
        <w:t>,</w:t>
      </w:r>
      <w:r w:rsidR="00692046" w:rsidRPr="00A67300">
        <w:rPr>
          <w:lang w:val="sr-Cyrl-CS"/>
        </w:rPr>
        <w:t xml:space="preserve"> условљен</w:t>
      </w:r>
      <w:r w:rsidR="00F62120" w:rsidRPr="00A67300">
        <w:rPr>
          <w:lang w:val="sr-Cyrl-CS"/>
        </w:rPr>
        <w:t>о</w:t>
      </w:r>
      <w:r w:rsidR="00692046" w:rsidRPr="00A67300">
        <w:rPr>
          <w:lang w:val="sr-Cyrl-CS"/>
        </w:rPr>
        <w:t xml:space="preserve"> ступањем на снагу закона о потврђивању </w:t>
      </w:r>
      <w:r w:rsidR="00F62120" w:rsidRPr="00A67300">
        <w:rPr>
          <w:lang w:val="sr-Cyrl-CS"/>
        </w:rPr>
        <w:t>Финансијског уговора</w:t>
      </w:r>
      <w:r w:rsidR="00BD00C4" w:rsidRPr="00A67300">
        <w:rPr>
          <w:lang w:val="sr-Cyrl-CS"/>
        </w:rPr>
        <w:t xml:space="preserve"> „Унапређење објеката правосудних органа Б” између Републике Србије и Европске инвестиционе банке</w:t>
      </w:r>
      <w:r w:rsidRPr="00A67300">
        <w:rPr>
          <w:lang w:val="sr-Cyrl-CS"/>
        </w:rPr>
        <w:t xml:space="preserve">. </w:t>
      </w:r>
    </w:p>
    <w:p w:rsidR="00726477" w:rsidRPr="00A67300" w:rsidRDefault="00726477" w:rsidP="00726477">
      <w:pPr>
        <w:ind w:firstLine="708"/>
        <w:jc w:val="both"/>
        <w:rPr>
          <w:lang w:val="sr-Cyrl-CS"/>
        </w:rPr>
      </w:pPr>
    </w:p>
    <w:sectPr w:rsidR="00726477" w:rsidRPr="00A67300" w:rsidSect="003C2142">
      <w:headerReference w:type="even" r:id="rId8"/>
      <w:headerReference w:type="default" r:id="rId9"/>
      <w:footerReference w:type="even" r:id="rId10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EA" w:rsidRDefault="007477EA">
      <w:r>
        <w:separator/>
      </w:r>
    </w:p>
  </w:endnote>
  <w:endnote w:type="continuationSeparator" w:id="0">
    <w:p w:rsidR="007477EA" w:rsidRDefault="0074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526BD0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EA" w:rsidRDefault="007477EA">
      <w:r>
        <w:separator/>
      </w:r>
    </w:p>
  </w:footnote>
  <w:footnote w:type="continuationSeparator" w:id="0">
    <w:p w:rsidR="007477EA" w:rsidRDefault="00747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526BD0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526BD0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26FD">
      <w:rPr>
        <w:rStyle w:val="PageNumber"/>
        <w:noProof/>
      </w:rPr>
      <w:t>3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7"/>
    <w:rsid w:val="00020FCC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B0459"/>
    <w:rsid w:val="000B433B"/>
    <w:rsid w:val="000B4E48"/>
    <w:rsid w:val="000B53A9"/>
    <w:rsid w:val="000C1F4C"/>
    <w:rsid w:val="000C4E82"/>
    <w:rsid w:val="000E05B7"/>
    <w:rsid w:val="000F26FD"/>
    <w:rsid w:val="00103B05"/>
    <w:rsid w:val="00113ACC"/>
    <w:rsid w:val="00117CB4"/>
    <w:rsid w:val="00126325"/>
    <w:rsid w:val="00144767"/>
    <w:rsid w:val="00147749"/>
    <w:rsid w:val="00153626"/>
    <w:rsid w:val="001667F5"/>
    <w:rsid w:val="001A3B02"/>
    <w:rsid w:val="001A7148"/>
    <w:rsid w:val="001A77EC"/>
    <w:rsid w:val="001B66FD"/>
    <w:rsid w:val="001C546D"/>
    <w:rsid w:val="001C5E2D"/>
    <w:rsid w:val="001C7981"/>
    <w:rsid w:val="001E1C8B"/>
    <w:rsid w:val="001E418E"/>
    <w:rsid w:val="001E57EF"/>
    <w:rsid w:val="001E6909"/>
    <w:rsid w:val="001E7107"/>
    <w:rsid w:val="001F1228"/>
    <w:rsid w:val="00204A89"/>
    <w:rsid w:val="002052E3"/>
    <w:rsid w:val="00241C0E"/>
    <w:rsid w:val="00243DD8"/>
    <w:rsid w:val="00253453"/>
    <w:rsid w:val="00255BA5"/>
    <w:rsid w:val="0025659C"/>
    <w:rsid w:val="0025742D"/>
    <w:rsid w:val="00272201"/>
    <w:rsid w:val="00286C70"/>
    <w:rsid w:val="00291078"/>
    <w:rsid w:val="002912F5"/>
    <w:rsid w:val="002A19F2"/>
    <w:rsid w:val="002C140C"/>
    <w:rsid w:val="002F1750"/>
    <w:rsid w:val="0030234C"/>
    <w:rsid w:val="00316AB7"/>
    <w:rsid w:val="003253B0"/>
    <w:rsid w:val="00344F7E"/>
    <w:rsid w:val="00356442"/>
    <w:rsid w:val="003627B1"/>
    <w:rsid w:val="00375309"/>
    <w:rsid w:val="0038219E"/>
    <w:rsid w:val="00384EA3"/>
    <w:rsid w:val="00387AD2"/>
    <w:rsid w:val="003B34BB"/>
    <w:rsid w:val="003B52EA"/>
    <w:rsid w:val="003C0CD0"/>
    <w:rsid w:val="003C2142"/>
    <w:rsid w:val="003E6854"/>
    <w:rsid w:val="003E6BA6"/>
    <w:rsid w:val="003F7B23"/>
    <w:rsid w:val="0040226C"/>
    <w:rsid w:val="00423BF8"/>
    <w:rsid w:val="00470AE5"/>
    <w:rsid w:val="00475346"/>
    <w:rsid w:val="00475C98"/>
    <w:rsid w:val="00481EDB"/>
    <w:rsid w:val="00485D86"/>
    <w:rsid w:val="004A33F0"/>
    <w:rsid w:val="004A3461"/>
    <w:rsid w:val="004B0478"/>
    <w:rsid w:val="004B4959"/>
    <w:rsid w:val="004C5540"/>
    <w:rsid w:val="004E689B"/>
    <w:rsid w:val="004F5575"/>
    <w:rsid w:val="00507384"/>
    <w:rsid w:val="00507842"/>
    <w:rsid w:val="00525E17"/>
    <w:rsid w:val="00526BD0"/>
    <w:rsid w:val="00527C0D"/>
    <w:rsid w:val="00542F03"/>
    <w:rsid w:val="00543111"/>
    <w:rsid w:val="0056231B"/>
    <w:rsid w:val="00562EF5"/>
    <w:rsid w:val="00564468"/>
    <w:rsid w:val="005667F8"/>
    <w:rsid w:val="005759C0"/>
    <w:rsid w:val="00584A3D"/>
    <w:rsid w:val="00590734"/>
    <w:rsid w:val="005937ED"/>
    <w:rsid w:val="00596B97"/>
    <w:rsid w:val="005A1AF0"/>
    <w:rsid w:val="005B7034"/>
    <w:rsid w:val="005B78AF"/>
    <w:rsid w:val="005C0446"/>
    <w:rsid w:val="005C442E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2DCA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671B"/>
    <w:rsid w:val="006C6834"/>
    <w:rsid w:val="006F005C"/>
    <w:rsid w:val="006F0436"/>
    <w:rsid w:val="006F1D87"/>
    <w:rsid w:val="006F412B"/>
    <w:rsid w:val="0070299B"/>
    <w:rsid w:val="007173D8"/>
    <w:rsid w:val="0072050A"/>
    <w:rsid w:val="00723279"/>
    <w:rsid w:val="00726477"/>
    <w:rsid w:val="00740858"/>
    <w:rsid w:val="00746BDE"/>
    <w:rsid w:val="007477EA"/>
    <w:rsid w:val="00756EEE"/>
    <w:rsid w:val="007603E0"/>
    <w:rsid w:val="00774BEC"/>
    <w:rsid w:val="007769D6"/>
    <w:rsid w:val="00792FB6"/>
    <w:rsid w:val="00796DC0"/>
    <w:rsid w:val="007A1385"/>
    <w:rsid w:val="007B14FA"/>
    <w:rsid w:val="007C3802"/>
    <w:rsid w:val="007C7A6D"/>
    <w:rsid w:val="007D3CBB"/>
    <w:rsid w:val="007E1B50"/>
    <w:rsid w:val="007F45DA"/>
    <w:rsid w:val="007F76C7"/>
    <w:rsid w:val="00802D12"/>
    <w:rsid w:val="00812742"/>
    <w:rsid w:val="00836B68"/>
    <w:rsid w:val="00845874"/>
    <w:rsid w:val="00860400"/>
    <w:rsid w:val="008604C6"/>
    <w:rsid w:val="00862E50"/>
    <w:rsid w:val="00864A3D"/>
    <w:rsid w:val="00866F6D"/>
    <w:rsid w:val="00874CB0"/>
    <w:rsid w:val="00890B04"/>
    <w:rsid w:val="00890DFB"/>
    <w:rsid w:val="008A2893"/>
    <w:rsid w:val="008B4ED3"/>
    <w:rsid w:val="008B4F87"/>
    <w:rsid w:val="008C220C"/>
    <w:rsid w:val="008C39C2"/>
    <w:rsid w:val="008C45A6"/>
    <w:rsid w:val="008D29F9"/>
    <w:rsid w:val="008F15A3"/>
    <w:rsid w:val="008F54A3"/>
    <w:rsid w:val="009142C3"/>
    <w:rsid w:val="00923785"/>
    <w:rsid w:val="009327F0"/>
    <w:rsid w:val="009333FB"/>
    <w:rsid w:val="00933B8D"/>
    <w:rsid w:val="00935EEF"/>
    <w:rsid w:val="0094174E"/>
    <w:rsid w:val="00943975"/>
    <w:rsid w:val="00947089"/>
    <w:rsid w:val="00947F14"/>
    <w:rsid w:val="0096620B"/>
    <w:rsid w:val="00966D91"/>
    <w:rsid w:val="0097521F"/>
    <w:rsid w:val="009A781A"/>
    <w:rsid w:val="009B3000"/>
    <w:rsid w:val="009C0011"/>
    <w:rsid w:val="009C0876"/>
    <w:rsid w:val="009C535A"/>
    <w:rsid w:val="009E43BE"/>
    <w:rsid w:val="009E66D1"/>
    <w:rsid w:val="009E6D0B"/>
    <w:rsid w:val="009F0496"/>
    <w:rsid w:val="009F4AB9"/>
    <w:rsid w:val="00A006B1"/>
    <w:rsid w:val="00A037E5"/>
    <w:rsid w:val="00A14A25"/>
    <w:rsid w:val="00A1714E"/>
    <w:rsid w:val="00A24C0E"/>
    <w:rsid w:val="00A56DC0"/>
    <w:rsid w:val="00A67300"/>
    <w:rsid w:val="00A67B90"/>
    <w:rsid w:val="00A91491"/>
    <w:rsid w:val="00AA5172"/>
    <w:rsid w:val="00AA5E8B"/>
    <w:rsid w:val="00AA7FD3"/>
    <w:rsid w:val="00AB09A7"/>
    <w:rsid w:val="00AB1D87"/>
    <w:rsid w:val="00AC23DB"/>
    <w:rsid w:val="00AC319E"/>
    <w:rsid w:val="00AC6967"/>
    <w:rsid w:val="00AC6E28"/>
    <w:rsid w:val="00AF05CC"/>
    <w:rsid w:val="00B01134"/>
    <w:rsid w:val="00B0221D"/>
    <w:rsid w:val="00B11D1A"/>
    <w:rsid w:val="00B15893"/>
    <w:rsid w:val="00B207D5"/>
    <w:rsid w:val="00B236F6"/>
    <w:rsid w:val="00B31EEB"/>
    <w:rsid w:val="00B41779"/>
    <w:rsid w:val="00B41E3D"/>
    <w:rsid w:val="00B6096C"/>
    <w:rsid w:val="00B8231A"/>
    <w:rsid w:val="00B82F86"/>
    <w:rsid w:val="00B92820"/>
    <w:rsid w:val="00BA558F"/>
    <w:rsid w:val="00BD00C4"/>
    <w:rsid w:val="00BE4ADF"/>
    <w:rsid w:val="00BF6BB4"/>
    <w:rsid w:val="00C14179"/>
    <w:rsid w:val="00C161E1"/>
    <w:rsid w:val="00C21708"/>
    <w:rsid w:val="00C454A1"/>
    <w:rsid w:val="00C574E3"/>
    <w:rsid w:val="00C645D8"/>
    <w:rsid w:val="00C661C9"/>
    <w:rsid w:val="00C8159D"/>
    <w:rsid w:val="00C8376C"/>
    <w:rsid w:val="00C847B1"/>
    <w:rsid w:val="00C90848"/>
    <w:rsid w:val="00C95A13"/>
    <w:rsid w:val="00CB0050"/>
    <w:rsid w:val="00CB11E2"/>
    <w:rsid w:val="00CB387A"/>
    <w:rsid w:val="00CC41C3"/>
    <w:rsid w:val="00CC71F8"/>
    <w:rsid w:val="00CF1B02"/>
    <w:rsid w:val="00D055F0"/>
    <w:rsid w:val="00D07955"/>
    <w:rsid w:val="00D20A59"/>
    <w:rsid w:val="00D57EE4"/>
    <w:rsid w:val="00D60D13"/>
    <w:rsid w:val="00D7163A"/>
    <w:rsid w:val="00D71C65"/>
    <w:rsid w:val="00D74AEF"/>
    <w:rsid w:val="00D809EF"/>
    <w:rsid w:val="00DA3A35"/>
    <w:rsid w:val="00DB71EA"/>
    <w:rsid w:val="00DD0D7B"/>
    <w:rsid w:val="00DE046C"/>
    <w:rsid w:val="00DE3BDE"/>
    <w:rsid w:val="00DF2E0D"/>
    <w:rsid w:val="00DF2F34"/>
    <w:rsid w:val="00DF3348"/>
    <w:rsid w:val="00E005AF"/>
    <w:rsid w:val="00E219CE"/>
    <w:rsid w:val="00E3026C"/>
    <w:rsid w:val="00E40475"/>
    <w:rsid w:val="00E45A97"/>
    <w:rsid w:val="00E45C01"/>
    <w:rsid w:val="00E613A1"/>
    <w:rsid w:val="00E64495"/>
    <w:rsid w:val="00E77BF9"/>
    <w:rsid w:val="00E80D89"/>
    <w:rsid w:val="00E80F05"/>
    <w:rsid w:val="00E85949"/>
    <w:rsid w:val="00E8762A"/>
    <w:rsid w:val="00E92AE5"/>
    <w:rsid w:val="00E93238"/>
    <w:rsid w:val="00EA60E5"/>
    <w:rsid w:val="00EC61DD"/>
    <w:rsid w:val="00EE585F"/>
    <w:rsid w:val="00EE6B63"/>
    <w:rsid w:val="00EF6FF3"/>
    <w:rsid w:val="00F01185"/>
    <w:rsid w:val="00F332F8"/>
    <w:rsid w:val="00F40184"/>
    <w:rsid w:val="00F62120"/>
    <w:rsid w:val="00F765C6"/>
    <w:rsid w:val="00F84AFF"/>
    <w:rsid w:val="00F86715"/>
    <w:rsid w:val="00F90C89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4</cp:revision>
  <cp:lastPrinted>2013-10-08T08:06:00Z</cp:lastPrinted>
  <dcterms:created xsi:type="dcterms:W3CDTF">2016-12-30T09:17:00Z</dcterms:created>
  <dcterms:modified xsi:type="dcterms:W3CDTF">2017-01-04T08:15:00Z</dcterms:modified>
</cp:coreProperties>
</file>