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6BE" w:rsidRDefault="00CD76BE" w:rsidP="00CD7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CD76BE" w:rsidRDefault="00CD76BE" w:rsidP="00CD7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УСТАВНИ ОСНОВ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ДОНОШЕЊЕ ЗАКОНА</w:t>
      </w:r>
    </w:p>
    <w:p w:rsidR="00CD76BE" w:rsidRDefault="00CD76BE" w:rsidP="00CD76BE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Уставни основ за доношење овог закона садржан је у одредби члана 97. тачка 15. Устава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(„Службени гласник РС”, број 98/06), према којој Република Србија уређује и обезбеђује финансирање остваривања права и дужности Републике Србије, утврђених Уставом и законом. Истовремено члан 16. Закона о јавном дугу („Службени гласник РС”, бр. 61/05, 107/09, 78/11 и 68/15) прописује да Република Србија може дати гаранцију за измирење дуга јавних предузећа и других правних лица, чији је оснивач. </w:t>
      </w:r>
    </w:p>
    <w:p w:rsidR="00CD76BE" w:rsidRDefault="00CD76BE" w:rsidP="00CD76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РАЗЛОЗИ ЗА ДОНОШЕЊЕ ЗАКОНА </w:t>
      </w:r>
    </w:p>
    <w:p w:rsidR="00CD76BE" w:rsidRDefault="00CD76BE" w:rsidP="00CD7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Разлози за доношење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>
        <w:rPr>
          <w:rFonts w:ascii="Times New Roman" w:hAnsi="Times New Roman" w:cs="Times New Roman"/>
          <w:sz w:val="24"/>
          <w:szCs w:val="24"/>
        </w:rPr>
        <w:t>закона о давању гаранције Републике Србије у корист Немачке развојне банке KfW, Франкфурт на Мајни (у даљем тексту: KfW), на име обавеза из Споразума о зајму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(Регионални програм за енергетску ефикасност у преносним системима) између Немачке развојне банке KfW, Франкфурт на Мајни и Акционарског друштва „Електромрежа Србије”, Београд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(у даљем тексту: ЕМС),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BMZ бр: 2012 67 194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закљученог 1. марта 2017. године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>у износу д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15.000.000 евра </w:t>
      </w:r>
      <w:r>
        <w:rPr>
          <w:rFonts w:ascii="Times New Roman" w:hAnsi="Times New Roman" w:cs="Times New Roman"/>
          <w:sz w:val="24"/>
          <w:szCs w:val="24"/>
        </w:rPr>
        <w:t>(у даљем тексту: Споразум о зајму)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садржани </w:t>
      </w:r>
      <w:r>
        <w:rPr>
          <w:rFonts w:ascii="Times New Roman" w:hAnsi="Times New Roman" w:cs="Times New Roman"/>
          <w:sz w:val="24"/>
          <w:szCs w:val="24"/>
        </w:rPr>
        <w:t xml:space="preserve">су у члану 16. став 4. Закона о јавном дугу, односно у члану 7. Споразума о зајму, у </w:t>
      </w:r>
      <w:r>
        <w:rPr>
          <w:rFonts w:ascii="Times New Roman" w:hAnsi="Times New Roman" w:cs="Times New Roman"/>
          <w:sz w:val="24"/>
          <w:szCs w:val="24"/>
          <w:lang w:val="sr-Cyrl-RS"/>
        </w:rPr>
        <w:t>вези са давaњем гаранције</w:t>
      </w:r>
      <w:r>
        <w:rPr>
          <w:rFonts w:ascii="Times New Roman" w:hAnsi="Times New Roman" w:cs="Times New Roman"/>
          <w:sz w:val="24"/>
          <w:szCs w:val="24"/>
        </w:rPr>
        <w:t xml:space="preserve"> Републик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Србије.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Наиме, чланом 16. став 4. Закона о јавном дугу прописано је да се Гаранција Републике Србије даје у форми закона. Чланом 7. Споразума о зајму предвиђено је да Република Србија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изда Гаранцију о </w:t>
      </w:r>
      <w:r>
        <w:rPr>
          <w:rFonts w:ascii="Times New Roman" w:hAnsi="Times New Roman" w:cs="Times New Roman"/>
          <w:sz w:val="24"/>
          <w:szCs w:val="24"/>
        </w:rPr>
        <w:t>плаћањ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KfW-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, као обезбеђење тог зајма. 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Чланом 3. Закона о буџету Републике Србије за 2017. годину („Службени гласник РС”, број 99/16) предвиђено је издавање гаранције Републике Србије Немачкој развојној банци (KfW) у износу до 15.000.000 евра за Акционарско друштво „Електромрежа Србије” – Енергетска ефикасност у преносним системима (Фаза I - Трансбалкански коридор), што се односи на Регионални програм енергетске ефикасности у преносном систему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(у даљем тексту: Програм).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  <w:lang w:val="sr-Cyrl-RS"/>
        </w:rPr>
        <w:t>грам</w:t>
      </w:r>
      <w:r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 за циљ обезбеђењ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националне енергетске безбедности Републике Србије и замене дотрајале мреже нижег напонског нивоа (220 kV) системом многоструко већег капацитета и вишег напонског нивоа (400 kV). Укупан развојни циљ Програма треба да представља допринос одрживом економском развоју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</w:t>
      </w:r>
      <w:r>
        <w:rPr>
          <w:rFonts w:ascii="Times New Roman" w:hAnsi="Times New Roman" w:cs="Times New Roman"/>
          <w:sz w:val="24"/>
          <w:szCs w:val="24"/>
        </w:rPr>
        <w:t>Србије и глобалној заштити климе путем смањења емисије угљен-диоксида (CO2).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Финансирањем Про</w:t>
      </w:r>
      <w:r>
        <w:rPr>
          <w:rFonts w:ascii="Times New Roman" w:hAnsi="Times New Roman" w:cs="Times New Roman"/>
          <w:sz w:val="24"/>
          <w:szCs w:val="24"/>
          <w:lang w:val="sr-Cyrl-RS"/>
        </w:rPr>
        <w:t>грама</w:t>
      </w:r>
      <w:r>
        <w:rPr>
          <w:rFonts w:ascii="Times New Roman" w:hAnsi="Times New Roman" w:cs="Times New Roman"/>
          <w:sz w:val="24"/>
          <w:szCs w:val="24"/>
        </w:rPr>
        <w:t>, од посебног националног и регионалног интереса, омогућиће се транс-национални пренос електричне енергије на великим растојањима уз минималне губитке, спајајући тржишта источне и западне Европе и гарантујући сигурно и стабилно снабдевање домаћих потрошача довољним количинама квалитетне електричне енергије.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  <w:lang w:val="sr-Cyrl-RS"/>
        </w:rPr>
        <w:t>грам,</w:t>
      </w:r>
      <w:r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чија је инвестициона вредност процењена на 29.600.000 евра, </w:t>
      </w:r>
      <w:r>
        <w:rPr>
          <w:rFonts w:ascii="Times New Roman" w:hAnsi="Times New Roman" w:cs="Times New Roman"/>
          <w:sz w:val="24"/>
          <w:szCs w:val="24"/>
        </w:rPr>
        <w:t xml:space="preserve"> обухвата спровођење радова и консултантске услуге. Његово финансирање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биће реализовано средствима зајма у износу </w:t>
      </w:r>
      <w:r>
        <w:rPr>
          <w:rFonts w:ascii="Times New Roman" w:hAnsi="Times New Roman" w:cs="Times New Roman"/>
          <w:sz w:val="24"/>
          <w:szCs w:val="24"/>
          <w:lang w:val="sr-Cyrl-RS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15. 000.000 евра који ће ЕМС-у одобрити KfW уз државну гаранцију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 донације у износу од 6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</w:rPr>
        <w:t>468</w:t>
      </w:r>
      <w:r>
        <w:rPr>
          <w:rFonts w:ascii="Times New Roman" w:hAnsi="Times New Roman" w:cs="Times New Roman"/>
          <w:sz w:val="24"/>
          <w:szCs w:val="24"/>
          <w:lang w:val="sr-Cyrl-RS"/>
        </w:rPr>
        <w:t>.000</w:t>
      </w:r>
      <w:r>
        <w:rPr>
          <w:rFonts w:ascii="Times New Roman" w:hAnsi="Times New Roman" w:cs="Times New Roman"/>
          <w:sz w:val="24"/>
          <w:szCs w:val="24"/>
        </w:rPr>
        <w:t xml:space="preserve"> евра која ће ЕМС-у бити додељена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кроз механизам Инвестиционог оквира за западни Балкан из Европског заједничког фонда за западни Балкан,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посредством </w:t>
      </w:r>
      <w:r>
        <w:rPr>
          <w:rFonts w:ascii="Times New Roman" w:hAnsi="Times New Roman" w:cs="Times New Roman"/>
          <w:sz w:val="24"/>
          <w:szCs w:val="24"/>
        </w:rPr>
        <w:t>KfW</w:t>
      </w:r>
      <w:r>
        <w:rPr>
          <w:rFonts w:ascii="Times New Roman" w:hAnsi="Times New Roman" w:cs="Times New Roman"/>
          <w:sz w:val="24"/>
          <w:szCs w:val="24"/>
          <w:lang w:val="sr-Cyrl-RS"/>
        </w:rPr>
        <w:t>-а,</w:t>
      </w:r>
      <w:r>
        <w:rPr>
          <w:rFonts w:ascii="Times New Roman" w:hAnsi="Times New Roman" w:cs="Times New Roman"/>
          <w:sz w:val="24"/>
          <w:szCs w:val="24"/>
        </w:rPr>
        <w:t xml:space="preserve"> и сопственим средствима ЕМС-а.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Закључком Владе 05 Број: 48-2085/2016 од 25. фебруара 2016. године утврђена је Основа за преговоре и одређен састав делегације за преговоре са KfW-ом. 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Током преговора, који су започели 5. децембра 2016. године у Београду, разматрана су три споразума: Споразум о зајму, који регулише начин и услове одобравања, коришћења и отплате зајма, Споразум о финансирању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</w:rPr>
        <w:t>ројекта између Републике Србије, KfW-а и ЕМС-а, који регулише начин и услове одобравања и коришћења средстава донације и Посебан споразум којим се дефинишу детаљи спровођења Про</w:t>
      </w:r>
      <w:r>
        <w:rPr>
          <w:rFonts w:ascii="Times New Roman" w:hAnsi="Times New Roman" w:cs="Times New Roman"/>
          <w:sz w:val="24"/>
          <w:szCs w:val="24"/>
          <w:lang w:val="sr-Cyrl-RS"/>
        </w:rPr>
        <w:t>грама</w:t>
      </w:r>
      <w:r>
        <w:rPr>
          <w:rFonts w:ascii="Times New Roman" w:hAnsi="Times New Roman" w:cs="Times New Roman"/>
          <w:sz w:val="24"/>
          <w:szCs w:val="24"/>
        </w:rPr>
        <w:t xml:space="preserve"> коришћењем кредитних и донаторских средстава, што између осталог подразумева набавку радова и опреме по правилима KfW-а у међународном тендерском поступку.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</w:rPr>
        <w:t>елегација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Републике Србије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успела да обезбеди најповољније финансијске услове зајма, у поређењу са кретањима на међународном финансијском тржишту.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Након што је Закључком 05 Број: 48-1309/2017 од 23. фебруара 2017. године Влада прихватила Извештај са преговора са KfW-ом, у вези са одобравањем зајма ЕМС-у уз давање гаранције Републике Србије у корист KfW-а за задуживање ЕМС-а и прихватила Нацрт споразума о зајму (Регионални програм за енергетску ефикасност у преносним системима) између KfW-а и ЕМС-а, Гаранцијa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плаћању </w:t>
      </w:r>
      <w:r>
        <w:rPr>
          <w:rFonts w:ascii="Times New Roman" w:hAnsi="Times New Roman" w:cs="Times New Roman"/>
          <w:sz w:val="24"/>
          <w:szCs w:val="24"/>
        </w:rPr>
        <w:t>је потписана 1. марта 2017. године, као и цео сет споразума са KfW-ом за наведени програм.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Споразумом о зајму предвиђено је да KfW одобри зајам ЕМС-у, као зајмопримцу, под следећим условима: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износ зајма 15.000.000 евра;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период расположивости зајма до 30. јуна 2020. године или до другог датума који зајмопримац и KfW могу да договоре у писаној форми;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фиксна каматна стопа од 0,80% годишње;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период доспећа зајма је 12 година, укључујући период почека од три године, тако да се главница отплаћује у 19 једнаких полугодишњих рата (прва рата главнице доспева на плаћање 30. јуна 2020. године, а последња 30. јуна 2029. године);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провизија за организовање посла је 0,75% износа зајма и плаћа се једнократно;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провизија на неповучена средства зајма је 0,25% годишње;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трошкови камате и провизије на неповучени део кредита биће плаћани полугодишње 30. јуна и 30. децембра сваке године.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 за одобравање и коришћење зајма ЕМС-у је давање гаранције Републике Србије у корист KfW-а, а ради обезбеђења наплате главнице, камате и других припадајућих трошкова по основу задужења зајмопримца.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Споразум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о зајму је дефинисано да он ступа на снагу када Гаранција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плаћању</w:t>
      </w:r>
      <w:r>
        <w:rPr>
          <w:rFonts w:ascii="Times New Roman" w:hAnsi="Times New Roman" w:cs="Times New Roman"/>
          <w:sz w:val="24"/>
          <w:szCs w:val="24"/>
        </w:rPr>
        <w:t xml:space="preserve"> ступи на снагу тј. осмог дана од датума објављивања Закона о давању гаранције у „Службеном гласнику Републике Србије”.</w:t>
      </w:r>
    </w:p>
    <w:p w:rsidR="00CD76BE" w:rsidRDefault="00CD76BE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Сви планирани инвестициони објекти обухваћени су одговарајућом планском документацијом ЕМС</w:t>
      </w:r>
      <w:r>
        <w:rPr>
          <w:rFonts w:ascii="Times New Roman" w:eastAsia="Times New Roman" w:hAnsi="Times New Roman" w:cs="Times New Roman"/>
          <w:sz w:val="24"/>
          <w:szCs w:val="24"/>
        </w:rPr>
        <w:t>-a,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националном нивоу (Десетогодишњи План развоја преносног система), одговарајућим регионалним инвестиционим плановима и Пан-европским плановима развоја. </w:t>
      </w:r>
    </w:p>
    <w:p w:rsidR="00CD76BE" w:rsidRDefault="00CD76BE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Реализацијом Програма отвара се могућност да електроенергетски систем Републике Србије искористи свој географски положај и потенцијал, односно да у ближој будућности преузме улогу регионалног лидера у области електроенергетике, што ће даље имати индиректни ефекат на привредни и друштвени развој наше земље.</w:t>
      </w:r>
    </w:p>
    <w:p w:rsidR="00CD76BE" w:rsidRDefault="00CD76BE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D76BE" w:rsidRDefault="00CD76BE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D76BE" w:rsidRDefault="00CD76BE" w:rsidP="00CD7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D76BE" w:rsidRDefault="00CD76BE" w:rsidP="00CD76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76BE" w:rsidRDefault="00CD76BE" w:rsidP="00CD76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ОБЈАШЊЕЊЕ ОСНОВНИХ ПРАВНИХ ИНСТИТУТА И ПОЈЕДИНАЧНИХ РЕШЕЊА </w:t>
      </w:r>
    </w:p>
    <w:p w:rsidR="00CD76BE" w:rsidRDefault="00CD76BE" w:rsidP="00CD7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Одредбом члана 1.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>
        <w:rPr>
          <w:rFonts w:ascii="Times New Roman" w:hAnsi="Times New Roman" w:cs="Times New Roman"/>
          <w:sz w:val="24"/>
          <w:szCs w:val="24"/>
        </w:rPr>
        <w:t>предвиђа се преузимање обавезе Републике Србије да као гарант измири обавезе Акционарско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друштва „Електромрежа Србије”,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Београд </w:t>
      </w:r>
      <w:r>
        <w:rPr>
          <w:rFonts w:ascii="Times New Roman" w:hAnsi="Times New Roman" w:cs="Times New Roman"/>
          <w:sz w:val="24"/>
          <w:szCs w:val="24"/>
        </w:rPr>
        <w:t xml:space="preserve">по задужењу код Немачке развојне банке KfW, Франкфурт на Мајни, у износу до </w:t>
      </w:r>
      <w:r>
        <w:rPr>
          <w:rFonts w:ascii="Times New Roman" w:hAnsi="Times New Roman" w:cs="Times New Roman"/>
          <w:sz w:val="24"/>
          <w:szCs w:val="24"/>
          <w:lang w:val="sr-Cyrl-RS"/>
        </w:rPr>
        <w:t>15</w:t>
      </w:r>
      <w:r>
        <w:rPr>
          <w:rFonts w:ascii="Times New Roman" w:hAnsi="Times New Roman" w:cs="Times New Roman"/>
          <w:sz w:val="24"/>
          <w:szCs w:val="24"/>
        </w:rPr>
        <w:t>.000.000 евра (словима: петнаест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милиона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евра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Одредбом члана 2.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Предлога закона </w:t>
      </w:r>
      <w:r>
        <w:rPr>
          <w:rFonts w:ascii="Times New Roman" w:hAnsi="Times New Roman" w:cs="Times New Roman"/>
          <w:sz w:val="24"/>
          <w:szCs w:val="24"/>
        </w:rPr>
        <w:t>предвиђа се да гаранцију из члана 1. овог закона, Република Србија даје у корист Немачке развојне банке KfW, Франкфурт на Мајни, на име обавеза из Споразума о зајму, BMZ бр: 2012 67 194, закљученог 1. марта 2017. године између Немачке развојне банке KfW</w:t>
      </w:r>
      <w:r>
        <w:rPr>
          <w:rFonts w:ascii="Times New Roman" w:hAnsi="Times New Roman" w:cs="Times New Roman"/>
          <w:sz w:val="24"/>
          <w:szCs w:val="24"/>
          <w:lang w:val="sr-Cyrl-RS"/>
        </w:rPr>
        <w:t>, Франкфурт на Мајни</w:t>
      </w:r>
      <w:r>
        <w:rPr>
          <w:rFonts w:ascii="Times New Roman" w:hAnsi="Times New Roman" w:cs="Times New Roman"/>
          <w:sz w:val="24"/>
          <w:szCs w:val="24"/>
        </w:rPr>
        <w:t xml:space="preserve"> и Акционарског друштва „Електромрежа Србије”,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 </w:t>
      </w:r>
      <w:r>
        <w:rPr>
          <w:rFonts w:ascii="Times New Roman" w:hAnsi="Times New Roman" w:cs="Times New Roman"/>
          <w:sz w:val="24"/>
          <w:szCs w:val="24"/>
        </w:rPr>
        <w:t xml:space="preserve">у вези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sz w:val="24"/>
          <w:szCs w:val="24"/>
        </w:rPr>
        <w:t>егионалним програмом енергетске ефикасности у преносном систему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Одредбом члана 3.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>
        <w:rPr>
          <w:rFonts w:ascii="Times New Roman" w:hAnsi="Times New Roman" w:cs="Times New Roman"/>
          <w:sz w:val="24"/>
          <w:szCs w:val="24"/>
        </w:rPr>
        <w:t>уређују се питања која се односе на обавезе које Акционарско друштв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„Електромрежа Србије”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Београд </w:t>
      </w:r>
      <w:r>
        <w:rPr>
          <w:rFonts w:ascii="Times New Roman" w:hAnsi="Times New Roman" w:cs="Times New Roman"/>
          <w:sz w:val="24"/>
          <w:szCs w:val="24"/>
        </w:rPr>
        <w:t xml:space="preserve">има у вези са овим кредитом. 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Одредбом члана 4.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 </w:t>
      </w:r>
      <w:r>
        <w:rPr>
          <w:rFonts w:ascii="Times New Roman" w:hAnsi="Times New Roman" w:cs="Times New Roman"/>
          <w:sz w:val="24"/>
          <w:szCs w:val="24"/>
        </w:rPr>
        <w:t>предвиђа се регресно право Републике Србије ако по основу дате гаранције изврши обавезу уместо Акционарског друштва „Електромрежа Србије”,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Београд, </w:t>
      </w:r>
      <w:r>
        <w:rPr>
          <w:rFonts w:ascii="Times New Roman" w:hAnsi="Times New Roman" w:cs="Times New Roman"/>
          <w:sz w:val="24"/>
          <w:szCs w:val="24"/>
        </w:rPr>
        <w:t xml:space="preserve"> као корисника кредита.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Одредбом члана 5. уређује се ступање на снагу овог закона. 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ФИНАНСИЈСКЕ ОБАВЕЗЕ И ПРОЦЕНА ФИНАНСИЈСКИХ СРЕДСТАВА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НАСТАЈУ ИЗВРШАВАЊЕМ ЗАКОНА 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спровођење овог закона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биће обезбеђена</w:t>
      </w:r>
      <w:r>
        <w:rPr>
          <w:rFonts w:ascii="Times New Roman" w:hAnsi="Times New Roman" w:cs="Times New Roman"/>
          <w:sz w:val="24"/>
          <w:szCs w:val="24"/>
        </w:rPr>
        <w:t xml:space="preserve"> средства у буџету Републике Србије. Чланом 3. Закона о буџету Републике Србије за 2017. годину („Службени гласник РС”, број 99/16) предвиђено је издавање гаранције Републике Србије Немачкој развојној банци (КfW) у износу до 15.000.000 евра за Акционарско друштво „Електромрежа Србије” – Енергетска ефикасност у преносним системима (Фаза I - Трансбалкански коридор), што се односи на овај пројекат.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РАЗЛОЗИ ЗА ДОНОШЕЊЕ ЗАКОНА ПО ХИТНОМ ПОСТУПКУ </w:t>
      </w: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76BE" w:rsidRDefault="00CD76BE" w:rsidP="00CD7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Разлози за доношење овог закона по хитном поступку, сагласно члану 167. Пословника Народне скупштине („Службени гласник РС”, број 20/12-пречишћен текст), произлазе из чињенице да је ступање на снагу и примена Споразума о зајму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односно повлачење средстава и измиривање доспелих обавеза Акционарско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друштв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„Електромрежа Србије”</w:t>
      </w:r>
      <w:r>
        <w:rPr>
          <w:rFonts w:ascii="Times New Roman" w:hAnsi="Times New Roman" w:cs="Times New Roman"/>
          <w:sz w:val="24"/>
          <w:szCs w:val="24"/>
          <w:lang w:val="sr-Cyrl-RS"/>
        </w:rPr>
        <w:t>, Београд</w:t>
      </w:r>
      <w:r>
        <w:rPr>
          <w:rFonts w:ascii="Times New Roman" w:hAnsi="Times New Roman" w:cs="Times New Roman"/>
          <w:sz w:val="24"/>
          <w:szCs w:val="24"/>
        </w:rPr>
        <w:t>, условљено ступањем на снагу овог закона.</w:t>
      </w:r>
    </w:p>
    <w:p w:rsidR="00A22E6A" w:rsidRDefault="00A22E6A">
      <w:bookmarkStart w:id="0" w:name="_GoBack"/>
      <w:bookmarkEnd w:id="0"/>
    </w:p>
    <w:sectPr w:rsidR="00A22E6A" w:rsidSect="00CD76BE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4AF" w:rsidRDefault="006B34AF" w:rsidP="00CD76BE">
      <w:pPr>
        <w:spacing w:after="0" w:line="240" w:lineRule="auto"/>
      </w:pPr>
      <w:r>
        <w:separator/>
      </w:r>
    </w:p>
  </w:endnote>
  <w:endnote w:type="continuationSeparator" w:id="0">
    <w:p w:rsidR="006B34AF" w:rsidRDefault="006B34AF" w:rsidP="00CD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05703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76BE" w:rsidRDefault="00CD76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D76BE" w:rsidRDefault="00CD7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AF" w:rsidRDefault="006B34AF" w:rsidP="00CD76BE">
      <w:pPr>
        <w:spacing w:after="0" w:line="240" w:lineRule="auto"/>
      </w:pPr>
      <w:r>
        <w:separator/>
      </w:r>
    </w:p>
  </w:footnote>
  <w:footnote w:type="continuationSeparator" w:id="0">
    <w:p w:rsidR="006B34AF" w:rsidRDefault="006B34AF" w:rsidP="00CD7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80"/>
    <w:rsid w:val="006B34AF"/>
    <w:rsid w:val="00A22E6A"/>
    <w:rsid w:val="00B75280"/>
    <w:rsid w:val="00CB0749"/>
    <w:rsid w:val="00C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6BE"/>
    <w:pPr>
      <w:spacing w:after="160" w:line="25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6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7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6BE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CD7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6BE"/>
    <w:rPr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6BE"/>
    <w:pPr>
      <w:spacing w:after="160" w:line="25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6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7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6BE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CD7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6BE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1246</Words>
  <Characters>7105</Characters>
  <Application>Microsoft Office Word</Application>
  <DocSecurity>0</DocSecurity>
  <Lines>59</Lines>
  <Paragraphs>16</Paragraphs>
  <ScaleCrop>false</ScaleCrop>
  <Company/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Kiurski</dc:creator>
  <cp:keywords/>
  <dc:description/>
  <cp:lastModifiedBy>Nikola Kiurski</cp:lastModifiedBy>
  <cp:revision>2</cp:revision>
  <dcterms:created xsi:type="dcterms:W3CDTF">2017-05-12T06:25:00Z</dcterms:created>
  <dcterms:modified xsi:type="dcterms:W3CDTF">2017-05-12T06:25:00Z</dcterms:modified>
</cp:coreProperties>
</file>