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9A0" w:rsidRPr="003E69A0" w:rsidRDefault="003E69A0" w:rsidP="003E69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bookmarkStart w:id="0" w:name="_GoBack"/>
      <w:bookmarkEnd w:id="0"/>
    </w:p>
    <w:p w:rsidR="00CA5C1C" w:rsidRPr="00E9519F" w:rsidRDefault="00CA5C1C" w:rsidP="00CA5C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CA5C1C" w:rsidRPr="002B2C4A" w:rsidRDefault="00CA5C1C" w:rsidP="00CA5C1C">
      <w:pPr>
        <w:spacing w:after="0" w:line="240" w:lineRule="auto"/>
        <w:ind w:right="-23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На основу члана 4. став 5. тачка 2) Закона o комуналним делатностима („Службени гласник РС”, бр. 88/11 и 104/16) и члана 42. став 1. Закона о Влади („Службени гласник РС”, бр. 55/05, 71/05 - исправка, 101/07, 65/08, 16/11, 68/12 - УС, 72/12, 7/14 - УС и 44/14),</w:t>
      </w:r>
    </w:p>
    <w:p w:rsidR="00CA5C1C" w:rsidRPr="002B2C4A" w:rsidRDefault="00CA5C1C" w:rsidP="00CA5C1C">
      <w:pPr>
        <w:spacing w:after="0" w:line="240" w:lineRule="auto"/>
        <w:ind w:right="-23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right="-23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right="-23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CA5C1C" w:rsidRPr="002B2C4A" w:rsidRDefault="00CA5C1C" w:rsidP="00CA5C1C">
      <w:pPr>
        <w:spacing w:after="0" w:line="240" w:lineRule="auto"/>
        <w:ind w:right="-2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230A2" w:rsidRPr="002B2C4A" w:rsidRDefault="007230A2" w:rsidP="00CA5C1C">
      <w:pPr>
        <w:spacing w:after="0" w:line="240" w:lineRule="auto"/>
        <w:ind w:right="-2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О НАЧИНУ И УСЛОВИМА ЗА ОТПОЧИЊАЊЕ ОБАВЉАЊА 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КОМУНАЛНИХ ДЕЛАТНОСТИ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230A2" w:rsidRPr="002B2C4A" w:rsidRDefault="007230A2" w:rsidP="00CA5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A5C1C" w:rsidRPr="002B2C4A" w:rsidRDefault="00CA5C1C" w:rsidP="00CA5C1C">
      <w:pPr>
        <w:pStyle w:val="ListParagraph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Предмет уредбе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CA5C1C" w:rsidRPr="002B2C4A" w:rsidRDefault="00CA5C1C" w:rsidP="00CA5C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Овом уредбом уређују се садржина, начин и услови за отпочињање обављања комуналних делатности и посебно се уређује: стручна оспособљеност кадрова и технички капацитет које морају да испуне вршиоци комуналних делатности за обављање одређене комуналне делатности, ако то није уређено другим прописима.</w:t>
      </w:r>
    </w:p>
    <w:p w:rsidR="00CA5C1C" w:rsidRPr="002B2C4A" w:rsidRDefault="00CA5C1C" w:rsidP="00CA5C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pStyle w:val="ListParagraph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Примена уредбе</w:t>
      </w:r>
    </w:p>
    <w:p w:rsidR="00CA5C1C" w:rsidRPr="002B2C4A" w:rsidRDefault="00CA5C1C" w:rsidP="00CA5C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pStyle w:val="NoSpacing"/>
        <w:tabs>
          <w:tab w:val="left" w:pos="6521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ове уредбе примењују се на </w:t>
      </w:r>
      <w:r w:rsidR="00A833F9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следеће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комуналне делатности: градски и приградски превоз путника у делу који обухвата јавни линијски превоз путничким бродом, скелом и чамцем за привредне сврхе; управљање гробљима и сахрањивање; погребна делатност; обезбеђивање јавног осветљења; димничарске услуге и делатност зоохигијене.</w:t>
      </w:r>
    </w:p>
    <w:p w:rsidR="00CA5C1C" w:rsidRPr="002B2C4A" w:rsidRDefault="00CA5C1C" w:rsidP="00CA5C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004C" w:rsidRPr="002B2C4A" w:rsidRDefault="00CA5C1C" w:rsidP="00CA5C1C">
      <w:pPr>
        <w:pStyle w:val="ListParagraph"/>
        <w:tabs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Захтев за проверу испуњености услова</w:t>
      </w:r>
      <w:r w:rsidR="001C0E0D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отпочињање</w:t>
      </w:r>
    </w:p>
    <w:p w:rsidR="00CA5C1C" w:rsidRPr="002B2C4A" w:rsidRDefault="001C0E0D" w:rsidP="00CA5C1C">
      <w:pPr>
        <w:pStyle w:val="ListParagraph"/>
        <w:tabs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обављања комуналних делатности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3.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Јавно предузеће, привредно друштво, предузетник или други привредни субјект (у даљем тексту: подносилац захтева), подноси захтев за проверу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отпочињање обављања комуналних делатности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министарству надлежном за послове комуналних делатности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Захтев из става 1. овог члана подноси се за сваку комуналну делатност појединачно.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Захтев из става 1. овог члана садржи: </w:t>
      </w:r>
    </w:p>
    <w:p w:rsidR="00CA5C1C" w:rsidRPr="002B2C4A" w:rsidRDefault="00CA5C1C" w:rsidP="00CA5C1C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пословно име подносиоца захтева;</w:t>
      </w:r>
    </w:p>
    <w:p w:rsidR="00CA5C1C" w:rsidRPr="002B2C4A" w:rsidRDefault="00CA5C1C" w:rsidP="00CA5C1C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седиште подносиоца захтева;</w:t>
      </w:r>
    </w:p>
    <w:p w:rsidR="00CA5C1C" w:rsidRPr="002B2C4A" w:rsidRDefault="00CA5C1C" w:rsidP="00CA5C1C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извод о регистрованим подацима из надлежног регистра;</w:t>
      </w:r>
    </w:p>
    <w:p w:rsidR="00CA5C1C" w:rsidRPr="002B2C4A" w:rsidRDefault="00CA5C1C" w:rsidP="00CA5C1C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порески идентификациони број подносиоца захтева;</w:t>
      </w:r>
    </w:p>
    <w:p w:rsidR="00CA5C1C" w:rsidRPr="002B2C4A" w:rsidRDefault="00CA5C1C" w:rsidP="00CA5C1C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назив комуналнe делатности на коју се захтев односи.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Подносилац захтева подноси захтев за проверу испуњености услова за отпочињање обављања комуналних делатности министарству надлежном за послове комуналних делатности пре доношења одлуке скупштине јединице локалне самоуправе о поверавању обављања комуналне делатности.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4.</w:t>
      </w:r>
    </w:p>
    <w:p w:rsidR="00CA5C1C" w:rsidRPr="002B2C4A" w:rsidRDefault="00CA5C1C" w:rsidP="00CA5C1C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A5C1C" w:rsidRPr="002B2C4A" w:rsidRDefault="00371D82" w:rsidP="00CA5C1C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ахтев за проверу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испуњености услова за отпочињање обављања комуналних делатности</w:t>
      </w:r>
      <w:r w:rsidR="00CA5C1C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, поред документације којом се доказује испуњеност посебних услова прописаних за сваку комуналну делатност, обавезно треба да садржи оригинал или копију оверену у складу са прописом којим се уређује овера потписа, рукописа и преписа следећих докумената:</w:t>
      </w:r>
    </w:p>
    <w:p w:rsidR="00CA5C1C" w:rsidRPr="002B2C4A" w:rsidRDefault="00CA5C1C" w:rsidP="00CA5C1C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оснивачког акта;</w:t>
      </w:r>
    </w:p>
    <w:p w:rsidR="00CA5C1C" w:rsidRPr="002B2C4A" w:rsidRDefault="00CA5C1C" w:rsidP="00CA5C1C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општег акта којим је утврђена систематизација радних места, односно извода из тог акта у делу који се односи на обављање комуналне делатности;</w:t>
      </w:r>
    </w:p>
    <w:p w:rsidR="00CA5C1C" w:rsidRPr="002B2C4A" w:rsidRDefault="00CA5C1C" w:rsidP="00CA5C1C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уверења надлежног пореског органа којим се потврђује да су измирене све пореске обавезе и обавезе по основу доприноса;</w:t>
      </w:r>
    </w:p>
    <w:p w:rsidR="00CA5C1C" w:rsidRPr="002B2C4A" w:rsidRDefault="00CA5C1C" w:rsidP="00CA5C1C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акта надлежног органа којим се потврђује да законски заступник подносиоца захтева није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правноснажно осуђиван за кривично дело које га чини недостојним или неподобним за обављање комуналне делатности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CA5C1C" w:rsidRPr="002B2C4A" w:rsidRDefault="00CA5C1C" w:rsidP="00CA5C1C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доказа о одговарајућем броју стручно оспособљених кадрова појединачно за сваку комуналну делатност у складу са овом уредбом; </w:t>
      </w:r>
    </w:p>
    <w:p w:rsidR="00CA5C1C" w:rsidRPr="002B2C4A" w:rsidRDefault="00CA5C1C" w:rsidP="00CA5C1C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доказа у погледу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техничког капацитета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појединачно за сваку комуналну делатност у складу са овом уредбом;</w:t>
      </w:r>
    </w:p>
    <w:p w:rsidR="00CA5C1C" w:rsidRPr="002B2C4A" w:rsidRDefault="00CA5C1C" w:rsidP="00CA5C1C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доказа о уплати републичке административне таксе за издавање решења.</w:t>
      </w:r>
    </w:p>
    <w:p w:rsidR="00CA5C1C" w:rsidRPr="002B2C4A" w:rsidRDefault="00CA5C1C" w:rsidP="00CA5C1C">
      <w:pPr>
        <w:pStyle w:val="ListParagraph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Подносилац захтева одговарајући број стручно оспособљених кадрова доказује достављањем копије оверене у складу са прописом којим се уређује овера потписа, рукописа и преписа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следећих докумената: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A5C1C" w:rsidRPr="002B2C4A" w:rsidRDefault="00CA5C1C" w:rsidP="00CA5C1C">
      <w:pPr>
        <w:pStyle w:val="ListParagraph"/>
        <w:numPr>
          <w:ilvl w:val="0"/>
          <w:numId w:val="16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уговора о раду;</w:t>
      </w:r>
    </w:p>
    <w:p w:rsidR="00CA5C1C" w:rsidRPr="002B2C4A" w:rsidRDefault="00CA5C1C" w:rsidP="00CA5C1C">
      <w:pPr>
        <w:pStyle w:val="ListParagraph"/>
        <w:numPr>
          <w:ilvl w:val="0"/>
          <w:numId w:val="16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дипломе, односно друге документације (уверење, сведочанство);</w:t>
      </w:r>
    </w:p>
    <w:p w:rsidR="00CA5C1C" w:rsidRPr="002B2C4A" w:rsidRDefault="00CA5C1C" w:rsidP="00CA5C1C">
      <w:pPr>
        <w:pStyle w:val="ListParagraph"/>
        <w:numPr>
          <w:ilvl w:val="0"/>
          <w:numId w:val="16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сертификата, лиценци и друге документације којом се доказује испуњеност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посебних услова прописаних за сваку комуналну делатност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A5C1C" w:rsidRPr="002B2C4A" w:rsidRDefault="00CA5C1C" w:rsidP="00CA5C1C">
      <w:pPr>
        <w:pStyle w:val="ListParagraph"/>
        <w:numPr>
          <w:ilvl w:val="0"/>
          <w:numId w:val="16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дозвола одговарајуће категорије за управљање машинама и возилима.</w:t>
      </w:r>
    </w:p>
    <w:p w:rsidR="00CA5C1C" w:rsidRPr="002B2C4A" w:rsidRDefault="00CA5C1C" w:rsidP="00CA5C1C">
      <w:pPr>
        <w:pStyle w:val="ListParagraph"/>
        <w:tabs>
          <w:tab w:val="left" w:pos="709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Подносилац захтева опремљеност у погледу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техничког капацитета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доказује достављањем копије оверене у складу са прописом којим се уређује овера потписа, рукописа и преписа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следећих докумената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A5C1C" w:rsidRPr="002B2C4A" w:rsidRDefault="00CA5C1C" w:rsidP="00CA5C1C">
      <w:pPr>
        <w:pStyle w:val="ListParagraph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доказа о поседовању опреме прописане о</w:t>
      </w:r>
      <w:r w:rsidR="00A846C6" w:rsidRPr="002B2C4A">
        <w:rPr>
          <w:rFonts w:ascii="Times New Roman" w:hAnsi="Times New Roman" w:cs="Times New Roman"/>
          <w:sz w:val="24"/>
          <w:szCs w:val="24"/>
          <w:lang w:val="sr-Cyrl-CS"/>
        </w:rPr>
        <w:t>вом уредбом (саобраћајна дозвола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,  уговор о куповини, уговор о лизингу, уговор о закупу закљученог на најмање 12 месеци и </w:t>
      </w:r>
      <w:r w:rsidR="00431631" w:rsidRPr="002B2C4A">
        <w:rPr>
          <w:rFonts w:ascii="Times New Roman" w:hAnsi="Times New Roman" w:cs="Times New Roman"/>
          <w:sz w:val="24"/>
          <w:szCs w:val="24"/>
          <w:lang w:val="sr-Cyrl-CS"/>
        </w:rPr>
        <w:t>други уговори и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пописна листа);</w:t>
      </w:r>
    </w:p>
    <w:p w:rsidR="00CA5C1C" w:rsidRPr="002B2C4A" w:rsidRDefault="00CA5C1C" w:rsidP="00CA5C1C">
      <w:pPr>
        <w:pStyle w:val="ListParagraph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доказа о правном основу за коришћење простора намењеног обављању комуналне делатности;</w:t>
      </w:r>
    </w:p>
    <w:p w:rsidR="00CA5C1C" w:rsidRPr="002B2C4A" w:rsidRDefault="00CA5C1C" w:rsidP="00010138">
      <w:pPr>
        <w:pStyle w:val="ListParagraph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доказа о исправности опреме прописане овом уредбом (гарантни лист, доказ о обављеном техничком прегледу, атест и др).</w:t>
      </w:r>
    </w:p>
    <w:p w:rsidR="00CA5C1C" w:rsidRPr="002B2C4A" w:rsidRDefault="00CA5C1C" w:rsidP="00CA5C1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ab/>
        <w:t>За подносица захтева</w:t>
      </w:r>
      <w:r w:rsidR="00010138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за проверу </w:t>
      </w:r>
      <w:r w:rsidR="00010138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испуњености услова за отпочињање обављања комуналних делатности</w:t>
      </w:r>
      <w:r w:rsidR="0071167C" w:rsidRPr="002B2C4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који поред комуналне делатности за коју подноси захтев</w:t>
      </w:r>
      <w:r w:rsidR="00010138" w:rsidRPr="002B2C4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обавља још једну или више комуналних делатности, проверава се испуњеност услова</w:t>
      </w:r>
      <w:r w:rsidR="00DA5868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DA5868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="00DA5868"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делатности,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узимајући у обзир укупан потенцијал расположивих кадровских и техничких капацитета за све комуналне делатности.</w:t>
      </w:r>
    </w:p>
    <w:p w:rsidR="00CA5C1C" w:rsidRPr="002B2C4A" w:rsidRDefault="00CA5C1C" w:rsidP="00CA5C1C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Минимални услови које морају да испуне вршиоци комунал</w:t>
      </w:r>
      <w:r w:rsidR="00DC5443" w:rsidRPr="002B2C4A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их делатности за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отпочињање обављања комуналне делатности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градски и приградски превоз путника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захтева за </w:t>
      </w:r>
      <w:r w:rsidR="003D2C47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проверу </w:t>
      </w:r>
      <w:r w:rsidR="003D2C47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 градски и приградски превоз путника у делу који обухвата јавни линијски превоз бродом, скелом и чамцем за привредне сврхе мора да има запослен одговарајући број чланова посаде за та пловила у складу са прописом којим се уређује најмањи број чланова посаде за безбедну пловидбу које морају имати бродови и друга пловила трговачке морнарице.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Подносилац захтева за</w:t>
      </w:r>
      <w:r w:rsidR="003D2C47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проверу </w:t>
      </w:r>
      <w:r w:rsidR="003D2C47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испуњености услова за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делатности градски и приградски превоз путника у делу који обухвата јавни линијски превоз бродом или скелом </w:t>
      </w:r>
      <w:r w:rsidR="00222084" w:rsidRPr="002B2C4A">
        <w:rPr>
          <w:rFonts w:ascii="Times New Roman" w:hAnsi="Times New Roman" w:cs="Times New Roman"/>
          <w:sz w:val="24"/>
          <w:szCs w:val="24"/>
          <w:lang w:val="sr-Cyrl-CS"/>
        </w:rPr>
        <w:t>мора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да има најмање један регистрован брод или скелу о чему доставља следеће доказе: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1) одобрење за обављање делатности возара унутрашње пловидбе издато у складу са законом којим се уређује трговачка пловидба;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2) опремљеност у погледу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техничког капацитета: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(1) као доказ права својине: извод из уписника бродова унутрашње пловидбе и важеће бродско сведочанство;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(2) као доказ о праву закупа: копија уговора уз извод из уписника бродова унутрашње пловидбе и важеће бродско сведочанство;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(3) као доказ о праву употребе целог брода или скеле на одређено време: копија уговора уз извод из уписника бродова унутрашње пловидбе и важеће бродско сведочанство;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3) полису осигурања у складу са законом о обавезном осигурању у саобраћају. 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захтева за </w:t>
      </w:r>
      <w:r w:rsidR="003D2C47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проверу </w:t>
      </w:r>
      <w:r w:rsidR="003D2C47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 градски и приградски превоз путника у делу који обухвата јавни линијски чамцем за привредне сврхе неопходно је да има најмање један чамац регистрован за привредне сврхе о чему доставља следеће доказе: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1) опремљеност у погледу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техничког капацитета: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(1) као доказ права својине: бродско сведочанство, односно пловидбену дозволу;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(2) као доказ о праву закупа: копија уговора уз бродско сведочанство, односно пловидбену дозволу;</w:t>
      </w:r>
    </w:p>
    <w:p w:rsidR="00CA5C1C" w:rsidRPr="002B2C4A" w:rsidRDefault="00CA5C1C" w:rsidP="009159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2) полису осигурања у складу са законом о обавезном осигурању у саобраћају.</w:t>
      </w:r>
    </w:p>
    <w:p w:rsidR="00CA5C1C" w:rsidRPr="002B2C4A" w:rsidRDefault="00CA5C1C" w:rsidP="00CA5C1C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Минимални услови које морају да испуне вршиоци комунал</w:t>
      </w:r>
      <w:r w:rsidR="00DC5443" w:rsidRPr="002B2C4A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их делатности за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 управљање гробљима и сахрањивање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Члан 7.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захтева за </w:t>
      </w:r>
      <w:r w:rsidR="009E2485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проверу </w:t>
      </w:r>
      <w:r w:rsidR="009E2485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 управљање гробљима и сахрањивање мора да има минималну стручну оспособљеност кадрова</w:t>
      </w:r>
      <w:r w:rsidR="00222084" w:rsidRPr="002B2C4A">
        <w:rPr>
          <w:rFonts w:ascii="Times New Roman" w:hAnsi="Times New Roman" w:cs="Times New Roman"/>
          <w:sz w:val="24"/>
          <w:szCs w:val="24"/>
          <w:lang w:val="sr-Cyrl-CS"/>
        </w:rPr>
        <w:t>, и то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8784" w:type="dxa"/>
        <w:jc w:val="center"/>
        <w:tblLayout w:type="fixed"/>
        <w:tblLook w:val="04A0"/>
      </w:tblPr>
      <w:tblGrid>
        <w:gridCol w:w="704"/>
        <w:gridCol w:w="2126"/>
        <w:gridCol w:w="1071"/>
        <w:gridCol w:w="1450"/>
        <w:gridCol w:w="1874"/>
        <w:gridCol w:w="1559"/>
      </w:tblGrid>
      <w:tr w:rsidR="00CA5C1C" w:rsidRPr="002B2C4A" w:rsidTr="00A17E5A">
        <w:trPr>
          <w:trHeight w:val="432"/>
          <w:jc w:val="center"/>
        </w:trPr>
        <w:tc>
          <w:tcPr>
            <w:tcW w:w="704" w:type="dxa"/>
            <w:vMerge w:val="restart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Ред.</w:t>
            </w:r>
          </w:p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2126" w:type="dxa"/>
            <w:vMerge w:val="restart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Стручна оспособљеност кадрова</w:t>
            </w:r>
          </w:p>
        </w:tc>
        <w:tc>
          <w:tcPr>
            <w:tcW w:w="5954" w:type="dxa"/>
            <w:gridSpan w:val="4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Површина гробља у ha </w:t>
            </w:r>
          </w:p>
        </w:tc>
      </w:tr>
      <w:tr w:rsidR="00CA5C1C" w:rsidRPr="002B2C4A" w:rsidTr="00A17E5A">
        <w:trPr>
          <w:trHeight w:val="864"/>
          <w:jc w:val="center"/>
        </w:trPr>
        <w:tc>
          <w:tcPr>
            <w:tcW w:w="704" w:type="dxa"/>
            <w:vMerge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vMerge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7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 5 ha</w:t>
            </w:r>
          </w:p>
        </w:tc>
        <w:tc>
          <w:tcPr>
            <w:tcW w:w="145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5 ha</w:t>
            </w:r>
          </w:p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 10 ha</w:t>
            </w:r>
          </w:p>
        </w:tc>
        <w:tc>
          <w:tcPr>
            <w:tcW w:w="187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 10 ha </w:t>
            </w:r>
          </w:p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 20 ha</w:t>
            </w:r>
          </w:p>
        </w:tc>
        <w:tc>
          <w:tcPr>
            <w:tcW w:w="1559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преко 20 ha</w:t>
            </w:r>
          </w:p>
        </w:tc>
      </w:tr>
      <w:tr w:rsidR="00CA5C1C" w:rsidRPr="002B2C4A" w:rsidTr="00A17E5A">
        <w:trPr>
          <w:trHeight w:val="864"/>
          <w:jc w:val="center"/>
        </w:trPr>
        <w:tc>
          <w:tcPr>
            <w:tcW w:w="70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12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Високо образовање </w:t>
            </w: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одговарајуће струке</w:t>
            </w:r>
          </w:p>
        </w:tc>
        <w:tc>
          <w:tcPr>
            <w:tcW w:w="107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45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87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559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</w:tr>
      <w:tr w:rsidR="00CA5C1C" w:rsidRPr="002B2C4A" w:rsidTr="00A17E5A">
        <w:trPr>
          <w:trHeight w:val="749"/>
          <w:jc w:val="center"/>
        </w:trPr>
        <w:tc>
          <w:tcPr>
            <w:tcW w:w="70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12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  <w:lang w:val="sr-Cyrl-CS"/>
              </w:rPr>
              <w:t>Средње образовање у трогодишњем и четворогодишњем трајању</w:t>
            </w:r>
          </w:p>
        </w:tc>
        <w:tc>
          <w:tcPr>
            <w:tcW w:w="107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45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87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1559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</w:p>
        </w:tc>
      </w:tr>
      <w:tr w:rsidR="00CA5C1C" w:rsidRPr="002B2C4A" w:rsidTr="00A17E5A">
        <w:trPr>
          <w:trHeight w:val="864"/>
          <w:jc w:val="center"/>
        </w:trPr>
        <w:tc>
          <w:tcPr>
            <w:tcW w:w="70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12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Основно образовање</w:t>
            </w:r>
          </w:p>
        </w:tc>
        <w:tc>
          <w:tcPr>
            <w:tcW w:w="107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45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187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1559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</w:tbl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B2C4A">
        <w:rPr>
          <w:rFonts w:ascii="Times New Roman" w:hAnsi="Times New Roman"/>
          <w:sz w:val="24"/>
          <w:szCs w:val="24"/>
          <w:lang w:val="sr-Cyrl-CS"/>
        </w:rPr>
        <w:t xml:space="preserve">Под одговарајућом струком за запослена лица </w:t>
      </w:r>
      <w:r w:rsidRPr="002B2C4A">
        <w:rPr>
          <w:rFonts w:ascii="Times New Roman" w:hAnsi="Times New Roman"/>
          <w:bCs/>
          <w:sz w:val="24"/>
          <w:szCs w:val="24"/>
          <w:lang w:val="sr-Cyrl-CS"/>
        </w:rPr>
        <w:t>са високим образовањем</w:t>
      </w:r>
      <w:r w:rsidR="00222084" w:rsidRPr="002B2C4A">
        <w:rPr>
          <w:rFonts w:ascii="Times New Roman" w:hAnsi="Times New Roman"/>
          <w:sz w:val="24"/>
          <w:szCs w:val="24"/>
          <w:lang w:val="sr-Cyrl-CS"/>
        </w:rPr>
        <w:t xml:space="preserve"> у смислу обављања послова комуналне</w:t>
      </w:r>
      <w:r w:rsidRPr="002B2C4A">
        <w:rPr>
          <w:rFonts w:ascii="Times New Roman" w:hAnsi="Times New Roman"/>
          <w:sz w:val="24"/>
          <w:szCs w:val="24"/>
          <w:lang w:val="sr-Cyrl-CS"/>
        </w:rPr>
        <w:t xml:space="preserve"> делатност</w:t>
      </w:r>
      <w:r w:rsidR="00222084" w:rsidRPr="002B2C4A">
        <w:rPr>
          <w:rFonts w:ascii="Times New Roman" w:hAnsi="Times New Roman"/>
          <w:sz w:val="24"/>
          <w:szCs w:val="24"/>
          <w:lang w:val="sr-Cyrl-CS"/>
        </w:rPr>
        <w:t>и</w:t>
      </w:r>
      <w:r w:rsidRPr="002B2C4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управљање гробљима и сахрањивање</w:t>
      </w:r>
      <w:r w:rsidRPr="002B2C4A">
        <w:rPr>
          <w:rFonts w:ascii="Times New Roman" w:hAnsi="Times New Roman"/>
          <w:sz w:val="24"/>
          <w:szCs w:val="24"/>
          <w:lang w:val="sr-Cyrl-CS"/>
        </w:rPr>
        <w:t xml:space="preserve"> подразумева се </w:t>
      </w:r>
      <w:r w:rsidRPr="002B2C4A">
        <w:rPr>
          <w:rFonts w:ascii="Times New Roman" w:hAnsi="Times New Roman"/>
          <w:bCs/>
          <w:sz w:val="24"/>
          <w:szCs w:val="24"/>
          <w:lang w:val="sr-Cyrl-CS"/>
        </w:rPr>
        <w:t xml:space="preserve">стечено високо образовање на основним академским студијама у обиму од најмање 240 ЕСПБ бодова, мастер академским студијама,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мастер струковним студијама, </w:t>
      </w:r>
      <w:r w:rsidRPr="002B2C4A">
        <w:rPr>
          <w:rFonts w:ascii="Times New Roman" w:hAnsi="Times New Roman"/>
          <w:bCs/>
          <w:sz w:val="24"/>
          <w:szCs w:val="24"/>
          <w:lang w:val="sr-Cyrl-CS"/>
        </w:rPr>
        <w:t xml:space="preserve">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из техничке, природне или друштвене научне области, односно стечено високо образовање првог степена студија у обиму од </w:t>
      </w:r>
      <w:r w:rsidRPr="002B2C4A">
        <w:rPr>
          <w:rFonts w:ascii="Times New Roman" w:hAnsi="Times New Roman"/>
          <w:bCs/>
          <w:iCs/>
          <w:sz w:val="24"/>
          <w:szCs w:val="24"/>
          <w:lang w:val="sr-Cyrl-CS"/>
        </w:rPr>
        <w:t>најмање</w:t>
      </w:r>
      <w:r w:rsidRPr="002B2C4A">
        <w:rPr>
          <w:rFonts w:ascii="Times New Roman" w:hAnsi="Times New Roman"/>
          <w:bCs/>
          <w:sz w:val="24"/>
          <w:szCs w:val="24"/>
          <w:lang w:val="sr-Cyrl-CS"/>
        </w:rPr>
        <w:t xml:space="preserve"> 180 ЕСПБ бодова, односно на основним студијама у трајању до три године, из техничке, природне или друштвене научне области.</w:t>
      </w:r>
    </w:p>
    <w:p w:rsidR="00CA5C1C" w:rsidRPr="002B2C4A" w:rsidRDefault="00CA5C1C" w:rsidP="00CA5C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Члан 8.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захтева за </w:t>
      </w:r>
      <w:r w:rsidR="009E2485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проверу </w:t>
      </w:r>
      <w:r w:rsidR="009E2485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 управљање гробљима и сахрањивање мора да има најмање једног запосленог дипломираног правника.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Одредба из става 1. овог члана не примењује се на подносиоца захтева </w:t>
      </w:r>
      <w:r w:rsidR="009E2485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за проверу </w:t>
      </w:r>
      <w:r w:rsidR="009E2485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испуњености услова за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комуналну делатност управљање гробљима и сахрањивање за гробља површине мање од 5 ha.</w:t>
      </w:r>
    </w:p>
    <w:p w:rsidR="00CA5C1C" w:rsidRPr="002B2C4A" w:rsidRDefault="00CA5C1C" w:rsidP="00CA5C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Члан 9.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Подносилац захтева за</w:t>
      </w:r>
      <w:r w:rsidR="00BF7159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проверу </w:t>
      </w:r>
      <w:r w:rsidR="00BF7159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испуњености услова за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 управљање гробљима и сахрањивање мора да има минимални технички капацитет</w:t>
      </w:r>
      <w:r w:rsidR="00222084" w:rsidRPr="002B2C4A">
        <w:rPr>
          <w:rFonts w:ascii="Times New Roman" w:hAnsi="Times New Roman" w:cs="Times New Roman"/>
          <w:sz w:val="24"/>
          <w:szCs w:val="24"/>
          <w:lang w:val="sr-Cyrl-CS"/>
        </w:rPr>
        <w:t>, и то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A5C1C" w:rsidRPr="002B2C4A" w:rsidRDefault="00CA5C1C" w:rsidP="00CA5C1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8818" w:type="dxa"/>
        <w:jc w:val="center"/>
        <w:tblLayout w:type="fixed"/>
        <w:tblLook w:val="04A0"/>
      </w:tblPr>
      <w:tblGrid>
        <w:gridCol w:w="846"/>
        <w:gridCol w:w="2987"/>
        <w:gridCol w:w="1265"/>
        <w:gridCol w:w="1134"/>
        <w:gridCol w:w="1134"/>
        <w:gridCol w:w="1452"/>
      </w:tblGrid>
      <w:tr w:rsidR="00CA5C1C" w:rsidRPr="002B2C4A" w:rsidTr="00A17E5A">
        <w:trPr>
          <w:trHeight w:val="328"/>
          <w:jc w:val="center"/>
        </w:trPr>
        <w:tc>
          <w:tcPr>
            <w:tcW w:w="846" w:type="dxa"/>
            <w:vMerge w:val="restart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Ред.</w:t>
            </w:r>
          </w:p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2987" w:type="dxa"/>
            <w:vMerge w:val="restart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Технички капацитет</w:t>
            </w:r>
          </w:p>
        </w:tc>
        <w:tc>
          <w:tcPr>
            <w:tcW w:w="4985" w:type="dxa"/>
            <w:gridSpan w:val="4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Површина гробља у ha </w:t>
            </w:r>
          </w:p>
        </w:tc>
      </w:tr>
      <w:tr w:rsidR="00CA5C1C" w:rsidRPr="002B2C4A" w:rsidTr="00A17E5A">
        <w:trPr>
          <w:trHeight w:val="646"/>
          <w:jc w:val="center"/>
        </w:trPr>
        <w:tc>
          <w:tcPr>
            <w:tcW w:w="846" w:type="dxa"/>
            <w:vMerge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87" w:type="dxa"/>
            <w:vMerge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6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 5 ha</w:t>
            </w:r>
          </w:p>
        </w:tc>
        <w:tc>
          <w:tcPr>
            <w:tcW w:w="113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 5 ha </w:t>
            </w:r>
          </w:p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 10 ha</w:t>
            </w:r>
          </w:p>
        </w:tc>
        <w:tc>
          <w:tcPr>
            <w:tcW w:w="113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10 ha до 20 ha</w:t>
            </w:r>
          </w:p>
        </w:tc>
        <w:tc>
          <w:tcPr>
            <w:tcW w:w="145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преко 20 ha</w:t>
            </w:r>
          </w:p>
        </w:tc>
      </w:tr>
      <w:tr w:rsidR="00CA5C1C" w:rsidRPr="002B2C4A" w:rsidTr="00A17E5A">
        <w:trPr>
          <w:trHeight w:val="976"/>
          <w:jc w:val="center"/>
        </w:trPr>
        <w:tc>
          <w:tcPr>
            <w:tcW w:w="84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987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Рачунар са програмом за вођење евиденције о гробним местима и сахранама</w:t>
            </w:r>
          </w:p>
        </w:tc>
        <w:tc>
          <w:tcPr>
            <w:tcW w:w="126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13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13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45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</w:tr>
      <w:tr w:rsidR="00CA5C1C" w:rsidRPr="002B2C4A" w:rsidTr="00A17E5A">
        <w:trPr>
          <w:trHeight w:val="646"/>
          <w:jc w:val="center"/>
        </w:trPr>
        <w:tc>
          <w:tcPr>
            <w:tcW w:w="84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987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Радна машина за одржавање гробља </w:t>
            </w:r>
          </w:p>
        </w:tc>
        <w:tc>
          <w:tcPr>
            <w:tcW w:w="126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13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13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45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</w:tr>
      <w:tr w:rsidR="00CA5C1C" w:rsidRPr="002B2C4A" w:rsidTr="00A17E5A">
        <w:trPr>
          <w:trHeight w:val="646"/>
          <w:jc w:val="center"/>
        </w:trPr>
        <w:tc>
          <w:tcPr>
            <w:tcW w:w="84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987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Колица или возило за превоз покојника унутар гробља</w:t>
            </w:r>
          </w:p>
        </w:tc>
        <w:tc>
          <w:tcPr>
            <w:tcW w:w="126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13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13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45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</w:tr>
      <w:tr w:rsidR="00CA5C1C" w:rsidRPr="002B2C4A" w:rsidTr="00A17E5A">
        <w:trPr>
          <w:trHeight w:val="525"/>
          <w:jc w:val="center"/>
        </w:trPr>
        <w:tc>
          <w:tcPr>
            <w:tcW w:w="84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2987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Колица за цвеће</w:t>
            </w:r>
          </w:p>
        </w:tc>
        <w:tc>
          <w:tcPr>
            <w:tcW w:w="126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13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13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45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</w:tr>
      <w:tr w:rsidR="00CA5C1C" w:rsidRPr="002B2C4A" w:rsidTr="00A17E5A">
        <w:trPr>
          <w:trHeight w:val="499"/>
          <w:jc w:val="center"/>
        </w:trPr>
        <w:tc>
          <w:tcPr>
            <w:tcW w:w="84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2987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Косилица за траву </w:t>
            </w:r>
          </w:p>
        </w:tc>
        <w:tc>
          <w:tcPr>
            <w:tcW w:w="126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13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13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45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</w:tr>
    </w:tbl>
    <w:p w:rsidR="00CA5C1C" w:rsidRPr="002B2C4A" w:rsidRDefault="00CA5C1C" w:rsidP="00CA5C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Минимални услови које морају да испуне </w:t>
      </w:r>
      <w:r w:rsidR="00730B55" w:rsidRPr="002B2C4A">
        <w:rPr>
          <w:rFonts w:ascii="Times New Roman" w:hAnsi="Times New Roman" w:cs="Times New Roman"/>
          <w:sz w:val="24"/>
          <w:szCs w:val="24"/>
          <w:lang w:val="sr-Cyrl-CS"/>
        </w:rPr>
        <w:t>вршиоци комунал</w:t>
      </w:r>
      <w:r w:rsidR="006750C1" w:rsidRPr="002B2C4A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30B55" w:rsidRPr="002B2C4A">
        <w:rPr>
          <w:rFonts w:ascii="Times New Roman" w:hAnsi="Times New Roman" w:cs="Times New Roman"/>
          <w:sz w:val="24"/>
          <w:szCs w:val="24"/>
          <w:lang w:val="sr-Cyrl-CS"/>
        </w:rPr>
        <w:t>их делатности за</w:t>
      </w:r>
      <w:r w:rsidR="00BF7159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 за погребну делатност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Члан 10.</w:t>
      </w:r>
    </w:p>
    <w:p w:rsidR="00CA5C1C" w:rsidRPr="002B2C4A" w:rsidRDefault="00CA5C1C" w:rsidP="00CA5C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</w:t>
      </w:r>
      <w:r w:rsidR="00672493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захтева за проверу </w:t>
      </w:r>
      <w:r w:rsidR="00672493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делатности погребна делатност мора да има најмање пет запослених </w:t>
      </w:r>
      <w:r w:rsidR="003D38D4" w:rsidRPr="002B2C4A">
        <w:rPr>
          <w:rFonts w:ascii="Times New Roman" w:hAnsi="Times New Roman" w:cs="Times New Roman"/>
          <w:sz w:val="24"/>
          <w:szCs w:val="24"/>
          <w:lang w:val="sr-Cyrl-CS"/>
        </w:rPr>
        <w:t>без обзира на</w:t>
      </w:r>
      <w:r w:rsidR="009D23AC">
        <w:rPr>
          <w:rFonts w:ascii="Times New Roman" w:hAnsi="Times New Roman" w:cs="Times New Roman"/>
          <w:sz w:val="24"/>
          <w:szCs w:val="24"/>
          <w:lang w:val="sr-Cyrl-CS"/>
        </w:rPr>
        <w:t xml:space="preserve"> степен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образовања.</w:t>
      </w:r>
    </w:p>
    <w:p w:rsidR="00EE3636" w:rsidRPr="002B2C4A" w:rsidRDefault="00EE3636" w:rsidP="00915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Члан 11.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захтева за </w:t>
      </w:r>
      <w:r w:rsidR="00190265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проверу </w:t>
      </w:r>
      <w:r w:rsidR="00190265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 погребна делатност мора да има минимални технички капацитет:</w:t>
      </w:r>
    </w:p>
    <w:p w:rsidR="00CA5C1C" w:rsidRPr="002B2C4A" w:rsidRDefault="00CA5C1C" w:rsidP="00CA5C1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pPr w:leftFromText="180" w:rightFromText="180" w:vertAnchor="text" w:tblpXSpec="center"/>
        <w:tblW w:w="914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848"/>
        <w:gridCol w:w="6425"/>
        <w:gridCol w:w="1868"/>
      </w:tblGrid>
      <w:tr w:rsidR="00CA5C1C" w:rsidRPr="002B2C4A" w:rsidTr="00A17E5A">
        <w:trPr>
          <w:trHeight w:val="533"/>
        </w:trPr>
        <w:tc>
          <w:tcPr>
            <w:tcW w:w="848" w:type="dxa"/>
            <w:vAlign w:val="center"/>
          </w:tcPr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Ред.</w:t>
            </w:r>
          </w:p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6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Технички капацитет</w:t>
            </w:r>
          </w:p>
        </w:tc>
        <w:tc>
          <w:tcPr>
            <w:tcW w:w="1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Количина</w:t>
            </w:r>
          </w:p>
        </w:tc>
      </w:tr>
      <w:tr w:rsidR="00CA5C1C" w:rsidRPr="002B2C4A" w:rsidTr="00A17E5A">
        <w:trPr>
          <w:trHeight w:val="533"/>
        </w:trPr>
        <w:tc>
          <w:tcPr>
            <w:tcW w:w="848" w:type="dxa"/>
            <w:vAlign w:val="center"/>
          </w:tcPr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6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5C1C" w:rsidRPr="002B2C4A" w:rsidRDefault="00CA5C1C" w:rsidP="00A17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атестираних возила за превоз покојника која су регистрована на подносиоце захтева</w:t>
            </w:r>
          </w:p>
        </w:tc>
        <w:tc>
          <w:tcPr>
            <w:tcW w:w="1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</w:tr>
      <w:tr w:rsidR="00CA5C1C" w:rsidRPr="002B2C4A" w:rsidTr="00A17E5A">
        <w:trPr>
          <w:trHeight w:val="533"/>
        </w:trPr>
        <w:tc>
          <w:tcPr>
            <w:tcW w:w="848" w:type="dxa"/>
            <w:vAlign w:val="center"/>
          </w:tcPr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6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5C1C" w:rsidRPr="002B2C4A" w:rsidRDefault="00CA5C1C" w:rsidP="00A17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Просторија за пословно-изложбени простор</w:t>
            </w:r>
          </w:p>
        </w:tc>
        <w:tc>
          <w:tcPr>
            <w:tcW w:w="1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 m</w:t>
            </w:r>
            <w:r w:rsidRPr="002B2C4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</w:t>
            </w:r>
          </w:p>
        </w:tc>
      </w:tr>
      <w:tr w:rsidR="00CA5C1C" w:rsidRPr="002B2C4A" w:rsidTr="00A17E5A">
        <w:trPr>
          <w:trHeight w:val="569"/>
        </w:trPr>
        <w:tc>
          <w:tcPr>
            <w:tcW w:w="848" w:type="dxa"/>
            <w:vAlign w:val="center"/>
          </w:tcPr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6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5C1C" w:rsidRPr="002B2C4A" w:rsidRDefault="00CA5C1C" w:rsidP="00A17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Просторија за смештај покојника (расхладнa коморa у власништву или уговор о закупу расхладне коморе)</w:t>
            </w:r>
          </w:p>
        </w:tc>
        <w:tc>
          <w:tcPr>
            <w:tcW w:w="1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најмање </w:t>
            </w:r>
          </w:p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три покојника</w:t>
            </w:r>
          </w:p>
        </w:tc>
      </w:tr>
      <w:tr w:rsidR="00CA5C1C" w:rsidRPr="002B2C4A" w:rsidTr="00A17E5A">
        <w:trPr>
          <w:trHeight w:val="561"/>
        </w:trPr>
        <w:tc>
          <w:tcPr>
            <w:tcW w:w="848" w:type="dxa"/>
            <w:vAlign w:val="center"/>
          </w:tcPr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6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5C1C" w:rsidRPr="002B2C4A" w:rsidRDefault="00CA5C1C" w:rsidP="00A17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Просторија за припремање покојника за погреб</w:t>
            </w:r>
          </w:p>
        </w:tc>
        <w:tc>
          <w:tcPr>
            <w:tcW w:w="1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 m</w:t>
            </w:r>
            <w:r w:rsidRPr="002B2C4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</w:t>
            </w:r>
          </w:p>
        </w:tc>
      </w:tr>
      <w:tr w:rsidR="00CA5C1C" w:rsidRPr="002B2C4A" w:rsidTr="00A17E5A">
        <w:trPr>
          <w:trHeight w:val="420"/>
        </w:trPr>
        <w:tc>
          <w:tcPr>
            <w:tcW w:w="848" w:type="dxa"/>
            <w:vAlign w:val="center"/>
          </w:tcPr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6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5C1C" w:rsidRPr="002B2C4A" w:rsidRDefault="00CA5C1C" w:rsidP="00A17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Магацински простор</w:t>
            </w:r>
          </w:p>
        </w:tc>
        <w:tc>
          <w:tcPr>
            <w:tcW w:w="1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 m</w:t>
            </w:r>
            <w:r w:rsidRPr="002B2C4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</w:t>
            </w:r>
          </w:p>
        </w:tc>
      </w:tr>
      <w:tr w:rsidR="00CA5C1C" w:rsidRPr="002B2C4A" w:rsidTr="00A17E5A">
        <w:trPr>
          <w:trHeight w:val="420"/>
        </w:trPr>
        <w:tc>
          <w:tcPr>
            <w:tcW w:w="848" w:type="dxa"/>
            <w:vAlign w:val="center"/>
          </w:tcPr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6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5C1C" w:rsidRPr="002B2C4A" w:rsidRDefault="00CA5C1C" w:rsidP="00A17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Обезбеђен паркинг простор за атестирана возила</w:t>
            </w:r>
          </w:p>
        </w:tc>
        <w:tc>
          <w:tcPr>
            <w:tcW w:w="1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5C1C" w:rsidRPr="002B2C4A" w:rsidRDefault="00CA5C1C" w:rsidP="00A17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 m</w:t>
            </w:r>
            <w:r w:rsidRPr="002B2C4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CS"/>
              </w:rPr>
              <w:t>2</w:t>
            </w:r>
          </w:p>
        </w:tc>
      </w:tr>
    </w:tbl>
    <w:p w:rsidR="00CA5C1C" w:rsidRPr="002B2C4A" w:rsidRDefault="00CA5C1C" w:rsidP="00CA5C1C">
      <w:pPr>
        <w:pStyle w:val="ListParagraph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Члан 12.</w:t>
      </w:r>
    </w:p>
    <w:p w:rsidR="00CA5C1C" w:rsidRPr="002B2C4A" w:rsidRDefault="00CA5C1C" w:rsidP="00CA5C1C">
      <w:pPr>
        <w:pStyle w:val="ListParagraph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pStyle w:val="ListParagraph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Просторије из члана 11. ове уредбе морају бити искључиво на територији јединице локалне самоуправе на чијој територији је регистрован</w:t>
      </w:r>
      <w:r w:rsidR="00761E90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о седиште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61E90" w:rsidRPr="002B2C4A">
        <w:rPr>
          <w:rFonts w:ascii="Times New Roman" w:hAnsi="Times New Roman" w:cs="Times New Roman"/>
          <w:sz w:val="24"/>
          <w:szCs w:val="24"/>
          <w:lang w:val="sr-Cyrl-CS"/>
        </w:rPr>
        <w:t>подносиоца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="001D6A5D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за проверу </w:t>
      </w:r>
      <w:r w:rsidR="001D6A5D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испуњености услова за</w:t>
      </w:r>
      <w:r w:rsidR="001D6A5D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6A5D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="001D6A5D"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CA5C1C" w:rsidRPr="002B2C4A" w:rsidRDefault="00CA5C1C" w:rsidP="00CA5C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Минимални услови које морају да испуне </w:t>
      </w:r>
      <w:r w:rsidR="00736F9B" w:rsidRPr="002B2C4A">
        <w:rPr>
          <w:rFonts w:ascii="Times New Roman" w:hAnsi="Times New Roman" w:cs="Times New Roman"/>
          <w:sz w:val="24"/>
          <w:szCs w:val="24"/>
          <w:lang w:val="sr-Cyrl-CS"/>
        </w:rPr>
        <w:t>вршиоци комунал</w:t>
      </w:r>
      <w:r w:rsidR="00423F79" w:rsidRPr="002B2C4A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36F9B" w:rsidRPr="002B2C4A">
        <w:rPr>
          <w:rFonts w:ascii="Times New Roman" w:hAnsi="Times New Roman" w:cs="Times New Roman"/>
          <w:sz w:val="24"/>
          <w:szCs w:val="24"/>
          <w:lang w:val="sr-Cyrl-CS"/>
        </w:rPr>
        <w:t>их делатности за</w:t>
      </w:r>
      <w:r w:rsidR="00736F9B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отпочињање обављања комуналне </w:t>
      </w:r>
      <w:r w:rsidR="00736F9B"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</w:t>
      </w:r>
      <w:r w:rsidR="00736F9B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 обезбеђивање јавног осветљења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Члан 13.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</w:t>
      </w:r>
      <w:r w:rsidR="00901440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захтева за проверу </w:t>
      </w:r>
      <w:r w:rsidR="00901440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 обезбеђивање јавног осветљења мора да има минималну стручну оспособљеност кадрова</w:t>
      </w:r>
      <w:r w:rsidR="00761E90" w:rsidRPr="002B2C4A">
        <w:rPr>
          <w:rFonts w:ascii="Times New Roman" w:hAnsi="Times New Roman" w:cs="Times New Roman"/>
          <w:sz w:val="24"/>
          <w:szCs w:val="24"/>
          <w:lang w:val="sr-Cyrl-CS"/>
        </w:rPr>
        <w:t>, и то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8823" w:type="dxa"/>
        <w:jc w:val="center"/>
        <w:tblLayout w:type="fixed"/>
        <w:tblLook w:val="04A0"/>
      </w:tblPr>
      <w:tblGrid>
        <w:gridCol w:w="674"/>
        <w:gridCol w:w="2988"/>
        <w:gridCol w:w="1153"/>
        <w:gridCol w:w="1155"/>
        <w:gridCol w:w="1222"/>
        <w:gridCol w:w="1631"/>
      </w:tblGrid>
      <w:tr w:rsidR="00CA5C1C" w:rsidRPr="002B2C4A" w:rsidTr="00A17E5A">
        <w:trPr>
          <w:trHeight w:val="310"/>
          <w:jc w:val="center"/>
        </w:trPr>
        <w:tc>
          <w:tcPr>
            <w:tcW w:w="674" w:type="dxa"/>
            <w:vMerge w:val="restart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Ред.</w:t>
            </w:r>
          </w:p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2988" w:type="dxa"/>
            <w:vMerge w:val="restart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Стручна оспособљеност кадрова</w:t>
            </w:r>
          </w:p>
        </w:tc>
        <w:tc>
          <w:tcPr>
            <w:tcW w:w="5161" w:type="dxa"/>
            <w:gridSpan w:val="4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стубова јавног осветљења</w:t>
            </w:r>
          </w:p>
        </w:tc>
      </w:tr>
      <w:tr w:rsidR="00CA5C1C" w:rsidRPr="002B2C4A" w:rsidTr="00A17E5A">
        <w:trPr>
          <w:trHeight w:val="1167"/>
          <w:jc w:val="center"/>
        </w:trPr>
        <w:tc>
          <w:tcPr>
            <w:tcW w:w="674" w:type="dxa"/>
            <w:vMerge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88" w:type="dxa"/>
            <w:vMerge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53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до 5.000</w:t>
            </w:r>
          </w:p>
        </w:tc>
        <w:tc>
          <w:tcPr>
            <w:tcW w:w="115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 xml:space="preserve">од 5.000 </w:t>
            </w:r>
          </w:p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до 30.000</w:t>
            </w:r>
          </w:p>
        </w:tc>
        <w:tc>
          <w:tcPr>
            <w:tcW w:w="1222" w:type="dxa"/>
            <w:vAlign w:val="center"/>
          </w:tcPr>
          <w:p w:rsidR="00CA5C1C" w:rsidRPr="002B2C4A" w:rsidRDefault="00CA5C1C" w:rsidP="00A17E5A">
            <w:pPr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 xml:space="preserve"> од 30.000 </w:t>
            </w:r>
          </w:p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до 50.000</w:t>
            </w:r>
          </w:p>
        </w:tc>
        <w:tc>
          <w:tcPr>
            <w:tcW w:w="163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преко 50.000</w:t>
            </w:r>
          </w:p>
        </w:tc>
      </w:tr>
      <w:tr w:rsidR="00CA5C1C" w:rsidRPr="002B2C4A" w:rsidTr="00A17E5A">
        <w:trPr>
          <w:trHeight w:val="921"/>
          <w:jc w:val="center"/>
        </w:trPr>
        <w:tc>
          <w:tcPr>
            <w:tcW w:w="67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98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Високо образовање – електротехничке струке</w:t>
            </w:r>
          </w:p>
        </w:tc>
        <w:tc>
          <w:tcPr>
            <w:tcW w:w="1153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15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2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63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</w:tr>
      <w:tr w:rsidR="00CA5C1C" w:rsidRPr="002B2C4A" w:rsidTr="00A17E5A">
        <w:trPr>
          <w:trHeight w:val="934"/>
          <w:jc w:val="center"/>
        </w:trPr>
        <w:tc>
          <w:tcPr>
            <w:tcW w:w="67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98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Високо образовање -дипломирани инжењер информатике</w:t>
            </w:r>
          </w:p>
        </w:tc>
        <w:tc>
          <w:tcPr>
            <w:tcW w:w="1153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15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2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63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A5C1C" w:rsidRPr="002B2C4A" w:rsidTr="00A17E5A">
        <w:trPr>
          <w:trHeight w:val="921"/>
          <w:jc w:val="center"/>
        </w:trPr>
        <w:tc>
          <w:tcPr>
            <w:tcW w:w="67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98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Високо образовање -дипломирани правник</w:t>
            </w:r>
          </w:p>
        </w:tc>
        <w:tc>
          <w:tcPr>
            <w:tcW w:w="1153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15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2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63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A5C1C" w:rsidRPr="002B2C4A" w:rsidTr="00A17E5A">
        <w:trPr>
          <w:trHeight w:val="609"/>
          <w:jc w:val="center"/>
        </w:trPr>
        <w:tc>
          <w:tcPr>
            <w:tcW w:w="67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4.</w:t>
            </w:r>
          </w:p>
        </w:tc>
        <w:tc>
          <w:tcPr>
            <w:tcW w:w="298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Високо образовање -дипломирани економиста</w:t>
            </w:r>
          </w:p>
        </w:tc>
        <w:tc>
          <w:tcPr>
            <w:tcW w:w="1153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15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2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63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</w:tr>
      <w:tr w:rsidR="00CA5C1C" w:rsidRPr="002B2C4A" w:rsidTr="00A17E5A">
        <w:trPr>
          <w:trHeight w:val="609"/>
          <w:jc w:val="center"/>
        </w:trPr>
        <w:tc>
          <w:tcPr>
            <w:tcW w:w="67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298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Високо образовање - грађевинске струке</w:t>
            </w:r>
          </w:p>
        </w:tc>
        <w:tc>
          <w:tcPr>
            <w:tcW w:w="1153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15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2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63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A5C1C" w:rsidRPr="002B2C4A" w:rsidTr="00A17E5A">
        <w:trPr>
          <w:trHeight w:val="623"/>
          <w:jc w:val="center"/>
        </w:trPr>
        <w:tc>
          <w:tcPr>
            <w:tcW w:w="67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298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  <w:lang w:val="sr-Cyrl-CS"/>
              </w:rPr>
              <w:t xml:space="preserve">Средње образовање у трогодишњем трајању </w:t>
            </w: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(електромонтер или електроинсталатер)</w:t>
            </w:r>
          </w:p>
        </w:tc>
        <w:tc>
          <w:tcPr>
            <w:tcW w:w="1153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15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22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63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</w:p>
        </w:tc>
      </w:tr>
      <w:tr w:rsidR="00CA5C1C" w:rsidRPr="002B2C4A" w:rsidTr="00A17E5A">
        <w:trPr>
          <w:trHeight w:val="732"/>
          <w:jc w:val="center"/>
        </w:trPr>
        <w:tc>
          <w:tcPr>
            <w:tcW w:w="67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298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  <w:lang w:val="sr-Cyrl-CS"/>
              </w:rPr>
              <w:t>Средње образовање у трогодишњем или четворогодишњем трајању</w:t>
            </w: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возачка дозвола Ц категорије</w:t>
            </w:r>
          </w:p>
        </w:tc>
        <w:tc>
          <w:tcPr>
            <w:tcW w:w="1153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15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2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63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</w:tr>
      <w:tr w:rsidR="00CA5C1C" w:rsidRPr="002B2C4A" w:rsidTr="00A17E5A">
        <w:trPr>
          <w:trHeight w:val="934"/>
          <w:jc w:val="center"/>
        </w:trPr>
        <w:tc>
          <w:tcPr>
            <w:tcW w:w="67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298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  <w:lang w:val="sr-Cyrl-CS"/>
              </w:rPr>
              <w:t>Средње образовање у трогодишњем трајању</w:t>
            </w: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(бравар)</w:t>
            </w:r>
          </w:p>
        </w:tc>
        <w:tc>
          <w:tcPr>
            <w:tcW w:w="1153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15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2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63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</w:tr>
      <w:tr w:rsidR="00CA5C1C" w:rsidRPr="002B2C4A" w:rsidTr="00A17E5A">
        <w:trPr>
          <w:trHeight w:val="914"/>
          <w:jc w:val="center"/>
        </w:trPr>
        <w:tc>
          <w:tcPr>
            <w:tcW w:w="67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298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Основно образовање</w:t>
            </w:r>
          </w:p>
        </w:tc>
        <w:tc>
          <w:tcPr>
            <w:tcW w:w="1153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15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22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63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</w:tr>
    </w:tbl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B2C4A">
        <w:rPr>
          <w:rFonts w:ascii="Times New Roman" w:hAnsi="Times New Roman"/>
          <w:sz w:val="24"/>
          <w:szCs w:val="24"/>
          <w:lang w:val="sr-Cyrl-CS"/>
        </w:rPr>
        <w:t xml:space="preserve">Под одговарајућом струком за запослена лица </w:t>
      </w:r>
      <w:r w:rsidRPr="002B2C4A">
        <w:rPr>
          <w:rFonts w:ascii="Times New Roman" w:hAnsi="Times New Roman"/>
          <w:bCs/>
          <w:sz w:val="24"/>
          <w:szCs w:val="24"/>
          <w:lang w:val="sr-Cyrl-CS"/>
        </w:rPr>
        <w:t>са високим образовањем</w:t>
      </w:r>
      <w:r w:rsidR="002E0F60" w:rsidRPr="002B2C4A">
        <w:rPr>
          <w:rFonts w:ascii="Times New Roman" w:hAnsi="Times New Roman"/>
          <w:sz w:val="24"/>
          <w:szCs w:val="24"/>
          <w:lang w:val="sr-Cyrl-CS"/>
        </w:rPr>
        <w:t xml:space="preserve"> у смислу обављања послова комуналне</w:t>
      </w:r>
      <w:r w:rsidRPr="002B2C4A">
        <w:rPr>
          <w:rFonts w:ascii="Times New Roman" w:hAnsi="Times New Roman"/>
          <w:sz w:val="24"/>
          <w:szCs w:val="24"/>
          <w:lang w:val="sr-Cyrl-CS"/>
        </w:rPr>
        <w:t xml:space="preserve"> делатност</w:t>
      </w:r>
      <w:r w:rsidR="002E0F60" w:rsidRPr="002B2C4A">
        <w:rPr>
          <w:rFonts w:ascii="Times New Roman" w:hAnsi="Times New Roman"/>
          <w:sz w:val="24"/>
          <w:szCs w:val="24"/>
          <w:lang w:val="sr-Cyrl-CS"/>
        </w:rPr>
        <w:t>и</w:t>
      </w:r>
      <w:r w:rsidRPr="002B2C4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обезбеђивање јавног осветљења </w:t>
      </w:r>
      <w:r w:rsidRPr="002B2C4A">
        <w:rPr>
          <w:rFonts w:ascii="Times New Roman" w:hAnsi="Times New Roman"/>
          <w:sz w:val="24"/>
          <w:szCs w:val="24"/>
          <w:lang w:val="sr-Cyrl-CS"/>
        </w:rPr>
        <w:t xml:space="preserve">подразумева се </w:t>
      </w:r>
      <w:r w:rsidRPr="002B2C4A">
        <w:rPr>
          <w:rFonts w:ascii="Times New Roman" w:hAnsi="Times New Roman"/>
          <w:bCs/>
          <w:sz w:val="24"/>
          <w:szCs w:val="24"/>
          <w:lang w:val="sr-Cyrl-CS"/>
        </w:rPr>
        <w:t>стечено високо образовање на основним академским студијама у обиму од најмање 240 ЕСПБ бодова, мастер академским студијама,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мастер струковним студијама, </w:t>
      </w:r>
      <w:r w:rsidRPr="002B2C4A">
        <w:rPr>
          <w:rFonts w:ascii="Times New Roman" w:hAnsi="Times New Roman"/>
          <w:bCs/>
          <w:sz w:val="24"/>
          <w:szCs w:val="24"/>
          <w:lang w:val="sr-Cyrl-CS"/>
        </w:rPr>
        <w:t>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</w:t>
      </w:r>
      <w:r w:rsidR="00761E90" w:rsidRPr="002B2C4A">
        <w:rPr>
          <w:rFonts w:ascii="Times New Roman" w:hAnsi="Times New Roman"/>
          <w:bCs/>
          <w:sz w:val="24"/>
          <w:szCs w:val="24"/>
          <w:lang w:val="sr-Cyrl-CS"/>
        </w:rPr>
        <w:t>јама на факултету</w:t>
      </w:r>
      <w:r w:rsidR="002E0F60" w:rsidRPr="002B2C4A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2B2C4A">
        <w:rPr>
          <w:rFonts w:ascii="Times New Roman" w:hAnsi="Times New Roman"/>
          <w:bCs/>
          <w:sz w:val="24"/>
          <w:szCs w:val="24"/>
          <w:lang w:val="sr-Cyrl-CS"/>
        </w:rPr>
        <w:t xml:space="preserve"> из техничке или дру</w:t>
      </w:r>
      <w:r w:rsidR="00E9519F">
        <w:rPr>
          <w:rFonts w:ascii="Times New Roman" w:hAnsi="Times New Roman"/>
          <w:bCs/>
          <w:sz w:val="24"/>
          <w:szCs w:val="24"/>
          <w:lang w:val="sr-Cyrl-CS"/>
        </w:rPr>
        <w:t>штвене научне области (ред. бр.</w:t>
      </w:r>
      <w:r w:rsidRPr="002B2C4A">
        <w:rPr>
          <w:rFonts w:ascii="Times New Roman" w:hAnsi="Times New Roman"/>
          <w:bCs/>
          <w:sz w:val="24"/>
          <w:szCs w:val="24"/>
          <w:lang w:val="sr-Cyrl-CS"/>
        </w:rPr>
        <w:t xml:space="preserve"> 2, 3. и 4. из табеле овог члана).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B2C4A">
        <w:rPr>
          <w:rFonts w:ascii="Times New Roman" w:hAnsi="Times New Roman"/>
          <w:sz w:val="24"/>
          <w:szCs w:val="24"/>
          <w:lang w:val="sr-Cyrl-CS"/>
        </w:rPr>
        <w:t xml:space="preserve">Под одговарајућом струком за запослена лица </w:t>
      </w:r>
      <w:r w:rsidRPr="002B2C4A">
        <w:rPr>
          <w:rFonts w:ascii="Times New Roman" w:hAnsi="Times New Roman"/>
          <w:bCs/>
          <w:sz w:val="24"/>
          <w:szCs w:val="24"/>
          <w:lang w:val="sr-Cyrl-CS"/>
        </w:rPr>
        <w:t>са високим образовањем</w:t>
      </w:r>
      <w:r w:rsidR="00A37F25" w:rsidRPr="002B2C4A">
        <w:rPr>
          <w:rFonts w:ascii="Times New Roman" w:hAnsi="Times New Roman"/>
          <w:sz w:val="24"/>
          <w:szCs w:val="24"/>
          <w:lang w:val="sr-Cyrl-CS"/>
        </w:rPr>
        <w:t xml:space="preserve"> у смислу обављања послова комуналне</w:t>
      </w:r>
      <w:r w:rsidRPr="002B2C4A">
        <w:rPr>
          <w:rFonts w:ascii="Times New Roman" w:hAnsi="Times New Roman"/>
          <w:sz w:val="24"/>
          <w:szCs w:val="24"/>
          <w:lang w:val="sr-Cyrl-CS"/>
        </w:rPr>
        <w:t xml:space="preserve"> делатност</w:t>
      </w:r>
      <w:r w:rsidR="00A37F25" w:rsidRPr="002B2C4A">
        <w:rPr>
          <w:rFonts w:ascii="Times New Roman" w:hAnsi="Times New Roman"/>
          <w:sz w:val="24"/>
          <w:szCs w:val="24"/>
          <w:lang w:val="sr-Cyrl-CS"/>
        </w:rPr>
        <w:t>и</w:t>
      </w:r>
      <w:r w:rsidRPr="002B2C4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обезбеђивање јавног осветљења </w:t>
      </w:r>
      <w:r w:rsidRPr="002B2C4A">
        <w:rPr>
          <w:rFonts w:ascii="Times New Roman" w:hAnsi="Times New Roman"/>
          <w:sz w:val="24"/>
          <w:szCs w:val="24"/>
          <w:lang w:val="sr-Cyrl-CS"/>
        </w:rPr>
        <w:t xml:space="preserve">подразумева се </w:t>
      </w:r>
      <w:r w:rsidRPr="002B2C4A">
        <w:rPr>
          <w:rFonts w:ascii="Times New Roman" w:hAnsi="Times New Roman"/>
          <w:bCs/>
          <w:sz w:val="24"/>
          <w:szCs w:val="24"/>
          <w:lang w:val="sr-Cyrl-CS"/>
        </w:rPr>
        <w:t>стечено високо образовање на основним академским студијама у обиму од најмање 240 ЕСПБ бодова, мастер академским студијама,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мастер струковним студијама, </w:t>
      </w:r>
      <w:r w:rsidRPr="002B2C4A">
        <w:rPr>
          <w:rFonts w:ascii="Times New Roman" w:hAnsi="Times New Roman"/>
          <w:bCs/>
          <w:sz w:val="24"/>
          <w:szCs w:val="24"/>
          <w:lang w:val="sr-Cyrl-CS"/>
        </w:rPr>
        <w:t>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</w:t>
      </w:r>
      <w:r w:rsidR="007C7B2C" w:rsidRPr="002B2C4A">
        <w:rPr>
          <w:rFonts w:ascii="Times New Roman" w:hAnsi="Times New Roman"/>
          <w:bCs/>
          <w:sz w:val="24"/>
          <w:szCs w:val="24"/>
          <w:lang w:val="sr-Cyrl-CS"/>
        </w:rPr>
        <w:t>истичким студијама на факултету</w:t>
      </w:r>
      <w:r w:rsidR="002E0F60" w:rsidRPr="002B2C4A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2B2C4A">
        <w:rPr>
          <w:rFonts w:ascii="Times New Roman" w:hAnsi="Times New Roman"/>
          <w:bCs/>
          <w:sz w:val="24"/>
          <w:szCs w:val="24"/>
          <w:lang w:val="sr-Cyrl-CS"/>
        </w:rPr>
        <w:t xml:space="preserve"> из техничке научне области, односно стечено високо образовање првог степена студија у обиму од </w:t>
      </w:r>
      <w:r w:rsidRPr="002B2C4A">
        <w:rPr>
          <w:rFonts w:ascii="Times New Roman" w:hAnsi="Times New Roman"/>
          <w:bCs/>
          <w:iCs/>
          <w:sz w:val="24"/>
          <w:szCs w:val="24"/>
          <w:lang w:val="sr-Cyrl-CS"/>
        </w:rPr>
        <w:t>најмање</w:t>
      </w:r>
      <w:r w:rsidRPr="002B2C4A">
        <w:rPr>
          <w:rFonts w:ascii="Times New Roman" w:hAnsi="Times New Roman"/>
          <w:bCs/>
          <w:sz w:val="24"/>
          <w:szCs w:val="24"/>
          <w:lang w:val="sr-Cyrl-CS"/>
        </w:rPr>
        <w:t xml:space="preserve"> 180 ЕСПБ бодова, односно на основним студијама у трај</w:t>
      </w:r>
      <w:r w:rsidR="007C7B2C" w:rsidRPr="002B2C4A">
        <w:rPr>
          <w:rFonts w:ascii="Times New Roman" w:hAnsi="Times New Roman"/>
          <w:bCs/>
          <w:sz w:val="24"/>
          <w:szCs w:val="24"/>
          <w:lang w:val="sr-Cyrl-CS"/>
        </w:rPr>
        <w:t>ању до три године</w:t>
      </w:r>
      <w:r w:rsidR="002E0F60" w:rsidRPr="002B2C4A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2B2C4A">
        <w:rPr>
          <w:rFonts w:ascii="Times New Roman" w:hAnsi="Times New Roman"/>
          <w:bCs/>
          <w:sz w:val="24"/>
          <w:szCs w:val="24"/>
          <w:lang w:val="sr-Cyrl-CS"/>
        </w:rPr>
        <w:t xml:space="preserve"> из те</w:t>
      </w:r>
      <w:r w:rsidR="00E9519F">
        <w:rPr>
          <w:rFonts w:ascii="Times New Roman" w:hAnsi="Times New Roman"/>
          <w:bCs/>
          <w:sz w:val="24"/>
          <w:szCs w:val="24"/>
          <w:lang w:val="sr-Cyrl-CS"/>
        </w:rPr>
        <w:t>хничке научне области (ред. бр.</w:t>
      </w:r>
      <w:r w:rsidRPr="002B2C4A">
        <w:rPr>
          <w:rFonts w:ascii="Times New Roman" w:hAnsi="Times New Roman"/>
          <w:bCs/>
          <w:sz w:val="24"/>
          <w:szCs w:val="24"/>
          <w:lang w:val="sr-Cyrl-CS"/>
        </w:rPr>
        <w:t xml:space="preserve"> 1. и 5. из табеле овог члана).</w:t>
      </w:r>
    </w:p>
    <w:p w:rsidR="002D7283" w:rsidRPr="002B2C4A" w:rsidRDefault="002D7283" w:rsidP="00CA5C1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2D7283" w:rsidRPr="002B2C4A" w:rsidRDefault="002D7283" w:rsidP="00CA5C1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2D7283" w:rsidRPr="002B2C4A" w:rsidRDefault="002D7283" w:rsidP="00CA5C1C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14.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1A223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захтева за проверу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</w:t>
      </w:r>
      <w:r w:rsidR="00CA5C1C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="00CA5C1C"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 обезбеђивање јавног осветљења мора да има минимални технички капацитет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, и то</w:t>
      </w:r>
      <w:r w:rsidR="00CA5C1C" w:rsidRPr="002B2C4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9209" w:type="dxa"/>
        <w:tblLayout w:type="fixed"/>
        <w:tblLook w:val="04A0"/>
      </w:tblPr>
      <w:tblGrid>
        <w:gridCol w:w="704"/>
        <w:gridCol w:w="3758"/>
        <w:gridCol w:w="1014"/>
        <w:gridCol w:w="1182"/>
        <w:gridCol w:w="1275"/>
        <w:gridCol w:w="1276"/>
      </w:tblGrid>
      <w:tr w:rsidR="00CA5C1C" w:rsidRPr="002B2C4A" w:rsidTr="00A17E5A">
        <w:trPr>
          <w:trHeight w:val="280"/>
        </w:trPr>
        <w:tc>
          <w:tcPr>
            <w:tcW w:w="704" w:type="dxa"/>
            <w:vMerge w:val="restart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Ред.</w:t>
            </w:r>
          </w:p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3758" w:type="dxa"/>
            <w:vMerge w:val="restart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Технички капацитет</w:t>
            </w:r>
          </w:p>
        </w:tc>
        <w:tc>
          <w:tcPr>
            <w:tcW w:w="4747" w:type="dxa"/>
            <w:gridSpan w:val="4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стубова јавног осветљења</w:t>
            </w:r>
          </w:p>
        </w:tc>
      </w:tr>
      <w:tr w:rsidR="00CA5C1C" w:rsidRPr="002B2C4A" w:rsidTr="00A17E5A">
        <w:trPr>
          <w:trHeight w:val="561"/>
        </w:trPr>
        <w:tc>
          <w:tcPr>
            <w:tcW w:w="704" w:type="dxa"/>
            <w:vMerge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58" w:type="dxa"/>
            <w:vMerge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1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 5.000</w:t>
            </w:r>
          </w:p>
        </w:tc>
        <w:tc>
          <w:tcPr>
            <w:tcW w:w="1182" w:type="dxa"/>
            <w:vAlign w:val="center"/>
          </w:tcPr>
          <w:p w:rsidR="00CA5C1C" w:rsidRPr="002B2C4A" w:rsidRDefault="00CA5C1C" w:rsidP="00A17E5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 5.000 </w:t>
            </w:r>
          </w:p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 30.000</w:t>
            </w:r>
          </w:p>
        </w:tc>
        <w:tc>
          <w:tcPr>
            <w:tcW w:w="127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 30.000 </w:t>
            </w:r>
          </w:p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 50.000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преко 50.000</w:t>
            </w:r>
          </w:p>
        </w:tc>
      </w:tr>
      <w:tr w:rsidR="00CA5C1C" w:rsidRPr="002B2C4A" w:rsidTr="00A17E5A">
        <w:trPr>
          <w:trHeight w:val="551"/>
        </w:trPr>
        <w:tc>
          <w:tcPr>
            <w:tcW w:w="70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75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Хидраулична платформа </w:t>
            </w:r>
          </w:p>
        </w:tc>
        <w:tc>
          <w:tcPr>
            <w:tcW w:w="101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18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7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</w:tr>
      <w:tr w:rsidR="00CA5C1C" w:rsidRPr="002B2C4A" w:rsidTr="00A17E5A">
        <w:trPr>
          <w:trHeight w:val="551"/>
        </w:trPr>
        <w:tc>
          <w:tcPr>
            <w:tcW w:w="70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75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Хидраулична дизалица до 10 t/m висине</w:t>
            </w:r>
          </w:p>
        </w:tc>
        <w:tc>
          <w:tcPr>
            <w:tcW w:w="101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18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A5C1C" w:rsidRPr="002B2C4A" w:rsidTr="00A17E5A">
        <w:trPr>
          <w:trHeight w:val="414"/>
        </w:trPr>
        <w:tc>
          <w:tcPr>
            <w:tcW w:w="70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75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Мерна кола</w:t>
            </w:r>
          </w:p>
        </w:tc>
        <w:tc>
          <w:tcPr>
            <w:tcW w:w="101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18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A5C1C" w:rsidRPr="002B2C4A" w:rsidTr="00A17E5A">
        <w:trPr>
          <w:trHeight w:val="415"/>
        </w:trPr>
        <w:tc>
          <w:tcPr>
            <w:tcW w:w="70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375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Кипер путар</w:t>
            </w:r>
          </w:p>
        </w:tc>
        <w:tc>
          <w:tcPr>
            <w:tcW w:w="101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18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</w:tr>
      <w:tr w:rsidR="00CA5C1C" w:rsidRPr="002B2C4A" w:rsidTr="00A17E5A">
        <w:trPr>
          <w:trHeight w:val="428"/>
        </w:trPr>
        <w:tc>
          <w:tcPr>
            <w:tcW w:w="70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75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Теретно пикап или теренско возило</w:t>
            </w:r>
          </w:p>
        </w:tc>
        <w:tc>
          <w:tcPr>
            <w:tcW w:w="101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18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7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</w:tr>
      <w:tr w:rsidR="00CA5C1C" w:rsidRPr="002B2C4A" w:rsidTr="00A17E5A">
        <w:trPr>
          <w:trHeight w:val="417"/>
        </w:trPr>
        <w:tc>
          <w:tcPr>
            <w:tcW w:w="70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375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Приколица за превоз стубова</w:t>
            </w:r>
          </w:p>
        </w:tc>
        <w:tc>
          <w:tcPr>
            <w:tcW w:w="101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18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A5C1C" w:rsidRPr="002B2C4A" w:rsidTr="00A17E5A">
        <w:trPr>
          <w:trHeight w:val="551"/>
        </w:trPr>
        <w:tc>
          <w:tcPr>
            <w:tcW w:w="70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375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Приколица за обезбеђења радова на путу</w:t>
            </w:r>
          </w:p>
        </w:tc>
        <w:tc>
          <w:tcPr>
            <w:tcW w:w="101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18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7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</w:tr>
      <w:tr w:rsidR="00CA5C1C" w:rsidRPr="002B2C4A" w:rsidTr="00A17E5A">
        <w:trPr>
          <w:trHeight w:val="433"/>
        </w:trPr>
        <w:tc>
          <w:tcPr>
            <w:tcW w:w="70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375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Унивеш машина</w:t>
            </w:r>
          </w:p>
        </w:tc>
        <w:tc>
          <w:tcPr>
            <w:tcW w:w="101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18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</w:tr>
      <w:tr w:rsidR="00CA5C1C" w:rsidRPr="002B2C4A" w:rsidTr="00A17E5A">
        <w:trPr>
          <w:trHeight w:val="410"/>
        </w:trPr>
        <w:tc>
          <w:tcPr>
            <w:tcW w:w="70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375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Агрегат</w:t>
            </w:r>
          </w:p>
        </w:tc>
        <w:tc>
          <w:tcPr>
            <w:tcW w:w="101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18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0 </w:t>
            </w:r>
          </w:p>
        </w:tc>
        <w:tc>
          <w:tcPr>
            <w:tcW w:w="127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</w:tr>
      <w:tr w:rsidR="00CA5C1C" w:rsidRPr="002B2C4A" w:rsidTr="00A17E5A">
        <w:trPr>
          <w:trHeight w:val="415"/>
        </w:trPr>
        <w:tc>
          <w:tcPr>
            <w:tcW w:w="70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3758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Компресор</w:t>
            </w:r>
          </w:p>
        </w:tc>
        <w:tc>
          <w:tcPr>
            <w:tcW w:w="1014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182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</w:tr>
    </w:tbl>
    <w:p w:rsidR="00CA5C1C" w:rsidRPr="002B2C4A" w:rsidRDefault="00CA5C1C" w:rsidP="00CA5C1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Минимални услови које морају да испуне вршиоци комунал</w:t>
      </w:r>
      <w:r w:rsidR="00423F79" w:rsidRPr="002B2C4A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их делатности за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 димничарске услуге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Члан 15.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Подносилац захтева за</w:t>
      </w:r>
      <w:r w:rsidR="009F1C03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проверу </w:t>
      </w:r>
      <w:r w:rsidR="009F1C03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испуњености услова за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 димничарске услуге мора да има минималну стручну оспособљеност кадрова</w:t>
      </w:r>
      <w:r w:rsidR="00E31F42" w:rsidRPr="002B2C4A">
        <w:rPr>
          <w:rFonts w:ascii="Times New Roman" w:hAnsi="Times New Roman" w:cs="Times New Roman"/>
          <w:sz w:val="24"/>
          <w:szCs w:val="24"/>
          <w:lang w:val="sr-Cyrl-CS"/>
        </w:rPr>
        <w:t>, и то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516345" w:rsidRPr="002B2C4A" w:rsidRDefault="00516345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6345" w:rsidRPr="002B2C4A" w:rsidRDefault="00516345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16345" w:rsidRPr="002B2C4A" w:rsidRDefault="00516345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21"/>
        <w:tblW w:w="10121" w:type="dxa"/>
        <w:jc w:val="center"/>
        <w:tblLayout w:type="fixed"/>
        <w:tblLook w:val="04A0"/>
      </w:tblPr>
      <w:tblGrid>
        <w:gridCol w:w="765"/>
        <w:gridCol w:w="2410"/>
        <w:gridCol w:w="1021"/>
        <w:gridCol w:w="1021"/>
        <w:gridCol w:w="1021"/>
        <w:gridCol w:w="1270"/>
        <w:gridCol w:w="1337"/>
        <w:gridCol w:w="1276"/>
      </w:tblGrid>
      <w:tr w:rsidR="00CA5C1C" w:rsidRPr="002B2C4A" w:rsidTr="00A17E5A">
        <w:trPr>
          <w:trHeight w:val="392"/>
          <w:jc w:val="center"/>
        </w:trPr>
        <w:tc>
          <w:tcPr>
            <w:tcW w:w="765" w:type="dxa"/>
            <w:vMerge w:val="restart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Ред.</w:t>
            </w:r>
          </w:p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2410" w:type="dxa"/>
            <w:vMerge w:val="restart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Стручна оспособљеност кадрова</w:t>
            </w:r>
          </w:p>
        </w:tc>
        <w:tc>
          <w:tcPr>
            <w:tcW w:w="6946" w:type="dxa"/>
            <w:gridSpan w:val="6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корисника комуналне услуге</w:t>
            </w:r>
          </w:p>
        </w:tc>
      </w:tr>
      <w:tr w:rsidR="00CA5C1C" w:rsidRPr="002B2C4A" w:rsidTr="00A17E5A">
        <w:trPr>
          <w:trHeight w:val="808"/>
          <w:jc w:val="center"/>
        </w:trPr>
        <w:tc>
          <w:tcPr>
            <w:tcW w:w="765" w:type="dxa"/>
            <w:vMerge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10" w:type="dxa"/>
            <w:vMerge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Pr="002B2C4A">
              <w:rPr>
                <w:rFonts w:ascii="Times New Roman" w:hAnsi="Times New Roman" w:cs="Times New Roman"/>
                <w:lang w:val="sr-Cyrl-CS"/>
              </w:rPr>
              <w:t xml:space="preserve"> 3.000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 xml:space="preserve">од </w:t>
            </w:r>
          </w:p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 xml:space="preserve">3.000 </w:t>
            </w:r>
          </w:p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до 10.000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од 10.000 до 30.000</w:t>
            </w:r>
          </w:p>
        </w:tc>
        <w:tc>
          <w:tcPr>
            <w:tcW w:w="127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од 30.000 до 60.000</w:t>
            </w:r>
          </w:p>
        </w:tc>
        <w:tc>
          <w:tcPr>
            <w:tcW w:w="1337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од 60.000 до 90.000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преко 90.000</w:t>
            </w:r>
          </w:p>
        </w:tc>
      </w:tr>
      <w:tr w:rsidR="00CA5C1C" w:rsidRPr="002B2C4A" w:rsidTr="00A17E5A">
        <w:trPr>
          <w:trHeight w:val="835"/>
          <w:jc w:val="center"/>
        </w:trPr>
        <w:tc>
          <w:tcPr>
            <w:tcW w:w="76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41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Високо образовање -дипломирани инжењер машинства или грађевине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7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337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</w:tr>
      <w:tr w:rsidR="00CA5C1C" w:rsidRPr="002B2C4A" w:rsidTr="00A17E5A">
        <w:trPr>
          <w:trHeight w:val="835"/>
          <w:jc w:val="center"/>
        </w:trPr>
        <w:tc>
          <w:tcPr>
            <w:tcW w:w="76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41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Високо образовање -дипломирани инжењер машинства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337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A5C1C" w:rsidRPr="002B2C4A" w:rsidTr="00A17E5A">
        <w:trPr>
          <w:trHeight w:val="835"/>
          <w:jc w:val="center"/>
        </w:trPr>
        <w:tc>
          <w:tcPr>
            <w:tcW w:w="76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41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Високо образовање -дипломирани инжењер грађевине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337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A5C1C" w:rsidRPr="002B2C4A" w:rsidTr="00A17E5A">
        <w:trPr>
          <w:trHeight w:val="835"/>
          <w:jc w:val="center"/>
        </w:trPr>
        <w:tc>
          <w:tcPr>
            <w:tcW w:w="76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241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Високо образовање -дипломирани инжењер хемије или технологије или екологије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337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A5C1C" w:rsidRPr="002B2C4A" w:rsidTr="00A17E5A">
        <w:trPr>
          <w:trHeight w:val="835"/>
          <w:jc w:val="center"/>
        </w:trPr>
        <w:tc>
          <w:tcPr>
            <w:tcW w:w="76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241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Високо образовање -дипломирани инжењер машинства са лиценцом 430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337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A5C1C" w:rsidRPr="002B2C4A" w:rsidTr="00A17E5A">
        <w:trPr>
          <w:trHeight w:val="835"/>
          <w:jc w:val="center"/>
        </w:trPr>
        <w:tc>
          <w:tcPr>
            <w:tcW w:w="76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241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Високо образовање -дипломирани инжењер са лиценцом 381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337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A5C1C" w:rsidRPr="002B2C4A" w:rsidTr="00A17E5A">
        <w:trPr>
          <w:trHeight w:val="835"/>
          <w:jc w:val="center"/>
        </w:trPr>
        <w:tc>
          <w:tcPr>
            <w:tcW w:w="76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241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Високо образовање -дипломирани инжењер са лиценцом енергетског менаџера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337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</w:tr>
      <w:tr w:rsidR="00CA5C1C" w:rsidRPr="002B2C4A" w:rsidTr="00A17E5A">
        <w:trPr>
          <w:trHeight w:val="1116"/>
          <w:jc w:val="center"/>
        </w:trPr>
        <w:tc>
          <w:tcPr>
            <w:tcW w:w="765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8.</w:t>
            </w:r>
          </w:p>
        </w:tc>
        <w:tc>
          <w:tcPr>
            <w:tcW w:w="241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Основно или средње образовање </w:t>
            </w:r>
            <w:r w:rsidRPr="002B2C4A">
              <w:rPr>
                <w:rStyle w:val="Emphasis"/>
                <w:rFonts w:ascii="Times New Roman" w:hAnsi="Times New Roman" w:cs="Times New Roman"/>
                <w:i w:val="0"/>
                <w:iCs w:val="0"/>
                <w:sz w:val="24"/>
                <w:szCs w:val="24"/>
                <w:lang w:val="sr-Cyrl-CS"/>
              </w:rPr>
              <w:t>у трогодишњем или четворогодишњем трајању</w:t>
            </w: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минимум једна година искуства у димничарским пословима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021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270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4+1 </w:t>
            </w:r>
          </w:p>
          <w:p w:rsidR="00CA5C1C" w:rsidRPr="00123682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123682">
              <w:rPr>
                <w:rFonts w:ascii="Times New Roman" w:hAnsi="Times New Roman" w:cs="Times New Roman"/>
                <w:lang w:val="sr-Cyrl-CS"/>
              </w:rPr>
              <w:t>на сваких додатних 3.000 корисника</w:t>
            </w:r>
          </w:p>
        </w:tc>
        <w:tc>
          <w:tcPr>
            <w:tcW w:w="1337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14+1 </w:t>
            </w:r>
          </w:p>
          <w:p w:rsidR="00CA5C1C" w:rsidRPr="00DC0162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DC0162">
              <w:rPr>
                <w:rFonts w:ascii="Times New Roman" w:hAnsi="Times New Roman" w:cs="Times New Roman"/>
                <w:lang w:val="sr-Cyrl-CS"/>
              </w:rPr>
              <w:t>на сваких додатних 2.000 корисника</w:t>
            </w:r>
          </w:p>
        </w:tc>
        <w:tc>
          <w:tcPr>
            <w:tcW w:w="1276" w:type="dxa"/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25+1 </w:t>
            </w:r>
          </w:p>
          <w:p w:rsidR="00CA5C1C" w:rsidRPr="00DC0162" w:rsidRDefault="00CA5C1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DC0162">
              <w:rPr>
                <w:rFonts w:ascii="Times New Roman" w:hAnsi="Times New Roman" w:cs="Times New Roman"/>
                <w:lang w:val="sr-Cyrl-CS"/>
              </w:rPr>
              <w:t>н</w:t>
            </w:r>
            <w:r w:rsidR="00E31F42" w:rsidRPr="00DC0162">
              <w:rPr>
                <w:rFonts w:ascii="Times New Roman" w:hAnsi="Times New Roman" w:cs="Times New Roman"/>
                <w:lang w:val="sr-Cyrl-CS"/>
              </w:rPr>
              <w:t>а сваких додатних 2.000 корисник</w:t>
            </w:r>
            <w:r w:rsidRPr="00DC0162">
              <w:rPr>
                <w:rFonts w:ascii="Times New Roman" w:hAnsi="Times New Roman" w:cs="Times New Roman"/>
                <w:lang w:val="sr-Cyrl-CS"/>
              </w:rPr>
              <w:t>а</w:t>
            </w:r>
          </w:p>
        </w:tc>
      </w:tr>
    </w:tbl>
    <w:p w:rsidR="00CA5C1C" w:rsidRPr="002B2C4A" w:rsidRDefault="00CA5C1C" w:rsidP="00CA5C1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Под корисницима димничарских услуга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у смислу обављања послова комуналне делатности димничарске услуге подразумевају се власници или корисници зграда, кућа, станова, пословних простора, објеката и постројења у којима се налази ложишни, димоводни или вентилациони уређај или канал.</w:t>
      </w:r>
    </w:p>
    <w:p w:rsidR="00CA5C1C" w:rsidRPr="002B2C4A" w:rsidRDefault="00CA5C1C" w:rsidP="00CA5C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Члан 16.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E6724D" w:rsidP="00D5712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захтева за проверу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за </w:t>
      </w:r>
      <w:r w:rsidR="00CA5C1C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="00CA5C1C"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 димничарске услуге мора да има</w:t>
      </w:r>
      <w:r w:rsidR="00D5712C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м</w:t>
      </w:r>
      <w:r w:rsidR="00CA5C1C" w:rsidRPr="002B2C4A">
        <w:rPr>
          <w:rFonts w:ascii="Times New Roman" w:hAnsi="Times New Roman" w:cs="Times New Roman"/>
          <w:sz w:val="24"/>
          <w:szCs w:val="24"/>
          <w:lang w:val="sr-Cyrl-CS"/>
        </w:rPr>
        <w:t>инимални технички капацитет по броју корисника комуналне услуге</w:t>
      </w:r>
      <w:r w:rsidR="00D5712C" w:rsidRPr="002B2C4A">
        <w:rPr>
          <w:rFonts w:ascii="Times New Roman" w:hAnsi="Times New Roman" w:cs="Times New Roman"/>
          <w:sz w:val="24"/>
          <w:szCs w:val="24"/>
          <w:lang w:val="sr-Cyrl-CS"/>
        </w:rPr>
        <w:t>, и то:</w:t>
      </w:r>
    </w:p>
    <w:tbl>
      <w:tblPr>
        <w:tblStyle w:val="TableGrid23"/>
        <w:tblpPr w:leftFromText="180" w:rightFromText="180" w:vertAnchor="text" w:horzAnchor="margin" w:tblpY="126"/>
        <w:tblW w:w="9593" w:type="dxa"/>
        <w:tblLook w:val="04A0"/>
      </w:tblPr>
      <w:tblGrid>
        <w:gridCol w:w="610"/>
        <w:gridCol w:w="1778"/>
        <w:gridCol w:w="962"/>
        <w:gridCol w:w="1043"/>
        <w:gridCol w:w="1085"/>
        <w:gridCol w:w="1264"/>
        <w:gridCol w:w="1383"/>
        <w:gridCol w:w="1468"/>
      </w:tblGrid>
      <w:tr w:rsidR="00D5712C" w:rsidRPr="002B2C4A" w:rsidTr="00A17E5A">
        <w:trPr>
          <w:trHeight w:val="613"/>
        </w:trPr>
        <w:tc>
          <w:tcPr>
            <w:tcW w:w="610" w:type="dxa"/>
            <w:vMerge w:val="restart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Ред. број</w:t>
            </w:r>
          </w:p>
        </w:tc>
        <w:tc>
          <w:tcPr>
            <w:tcW w:w="1778" w:type="dxa"/>
            <w:vMerge w:val="restart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Технички капацитет</w:t>
            </w:r>
          </w:p>
        </w:tc>
        <w:tc>
          <w:tcPr>
            <w:tcW w:w="7205" w:type="dxa"/>
            <w:gridSpan w:val="6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Број корисника комуналне услуге</w:t>
            </w:r>
          </w:p>
        </w:tc>
      </w:tr>
      <w:tr w:rsidR="00D5712C" w:rsidRPr="002B2C4A" w:rsidTr="00A17E5A">
        <w:trPr>
          <w:trHeight w:val="765"/>
        </w:trPr>
        <w:tc>
          <w:tcPr>
            <w:tcW w:w="610" w:type="dxa"/>
            <w:vMerge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778" w:type="dxa"/>
            <w:vMerge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до 3.000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од 3.000 до10.000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 xml:space="preserve">од 10.000 </w:t>
            </w:r>
          </w:p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до 30.000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 xml:space="preserve">од 30.000 </w:t>
            </w:r>
          </w:p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до 60.000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 xml:space="preserve">од 60.000 </w:t>
            </w:r>
          </w:p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до 90.000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преко 90.000</w:t>
            </w:r>
          </w:p>
        </w:tc>
      </w:tr>
      <w:tr w:rsidR="00D5712C" w:rsidRPr="002B2C4A" w:rsidTr="00A17E5A">
        <w:trPr>
          <w:trHeight w:val="699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 xml:space="preserve">Комплет основног димничарског алата и опреме 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lang w:val="sr-Cyrl-CS"/>
              </w:rPr>
              <w:t>9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lang w:val="sr-Cyrl-CS"/>
              </w:rPr>
              <w:t>15</w:t>
            </w:r>
          </w:p>
        </w:tc>
      </w:tr>
      <w:tr w:rsidR="00D5712C" w:rsidRPr="002B2C4A" w:rsidTr="00A17E5A">
        <w:trPr>
          <w:trHeight w:val="850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2.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Циркулациона пумпа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7</w:t>
            </w:r>
          </w:p>
        </w:tc>
      </w:tr>
      <w:tr w:rsidR="00D5712C" w:rsidRPr="002B2C4A" w:rsidTr="00A17E5A">
        <w:trPr>
          <w:trHeight w:val="1074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3.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Високопритисна пумпа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10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15</w:t>
            </w:r>
          </w:p>
        </w:tc>
      </w:tr>
      <w:tr w:rsidR="00D5712C" w:rsidRPr="002B2C4A" w:rsidTr="00A17E5A">
        <w:trPr>
          <w:trHeight w:val="1388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4.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 xml:space="preserve">Камера за снимање унутрашњости димоводних објеката са </w:t>
            </w:r>
            <w:r w:rsidRPr="002B2C4A">
              <w:rPr>
                <w:rFonts w:ascii="Times New Roman" w:hAnsi="Times New Roman" w:cs="Times New Roman"/>
                <w:lang w:val="sr-Cyrl-CS"/>
              </w:rPr>
              <w:lastRenderedPageBreak/>
              <w:t>видео записом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lastRenderedPageBreak/>
              <w:t>1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</w:tr>
      <w:tr w:rsidR="00D5712C" w:rsidRPr="002B2C4A" w:rsidTr="00A17E5A">
        <w:trPr>
          <w:trHeight w:val="1651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lastRenderedPageBreak/>
              <w:t>5.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Камера за снимање унутрашњости вентилационих канала са видеозаписом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</w:tr>
      <w:tr w:rsidR="00D5712C" w:rsidRPr="002B2C4A" w:rsidTr="00A17E5A">
        <w:trPr>
          <w:trHeight w:val="1388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6.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Опрема за испитивање непропусности димњака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</w:tr>
      <w:tr w:rsidR="00D5712C" w:rsidRPr="002B2C4A" w:rsidTr="00A17E5A">
        <w:trPr>
          <w:trHeight w:val="830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7.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Акредитована лабораторија за испитивање непропусности димоводних система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</w:tr>
      <w:tr w:rsidR="00D5712C" w:rsidRPr="002B2C4A" w:rsidTr="00A17E5A">
        <w:trPr>
          <w:trHeight w:val="1144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8.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 xml:space="preserve">Усисивач за индустрију јачи од 1500 </w:t>
            </w:r>
            <w:r w:rsidR="00E718C7" w:rsidRPr="002B2C4A">
              <w:rPr>
                <w:rFonts w:ascii="Times New Roman" w:hAnsi="Times New Roman" w:cs="Times New Roman"/>
                <w:lang w:val="sr-Cyrl-CS"/>
              </w:rPr>
              <w:t>W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</w:tr>
      <w:tr w:rsidR="00D5712C" w:rsidRPr="002B2C4A" w:rsidTr="00A17E5A">
        <w:trPr>
          <w:trHeight w:val="1115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9.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Уређај за механичко уклањање наслага у цевима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</w:tr>
      <w:tr w:rsidR="00D5712C" w:rsidRPr="002B2C4A" w:rsidTr="00A17E5A">
        <w:trPr>
          <w:trHeight w:val="1378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10.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Ротациона сајла за скидање смоле у димњацима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</w:tr>
      <w:tr w:rsidR="00D5712C" w:rsidRPr="002B2C4A" w:rsidTr="00A17E5A">
        <w:trPr>
          <w:trHeight w:val="1103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11.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 xml:space="preserve">Робот за чишење вентилационих канала </w:t>
            </w:r>
            <w:r w:rsidR="00F06AEF" w:rsidRPr="002B2C4A">
              <w:rPr>
                <w:rFonts w:ascii="Times New Roman" w:hAnsi="Times New Roman" w:cs="Times New Roman"/>
                <w:lang w:val="sr-Cyrl-CS"/>
              </w:rPr>
              <w:t>с</w:t>
            </w:r>
            <w:r w:rsidRPr="002B2C4A">
              <w:rPr>
                <w:rFonts w:ascii="Times New Roman" w:hAnsi="Times New Roman" w:cs="Times New Roman"/>
                <w:lang w:val="sr-Cyrl-CS"/>
              </w:rPr>
              <w:t>а видеозаписом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</w:tr>
      <w:tr w:rsidR="00D5712C" w:rsidRPr="002B2C4A" w:rsidTr="00A17E5A">
        <w:trPr>
          <w:trHeight w:val="557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12.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 xml:space="preserve">Инструмент за мерење емисија и степена </w:t>
            </w:r>
            <w:r w:rsidRPr="002B2C4A">
              <w:rPr>
                <w:rFonts w:ascii="Times New Roman" w:hAnsi="Times New Roman" w:cs="Times New Roman"/>
                <w:lang w:val="sr-Cyrl-CS"/>
              </w:rPr>
              <w:lastRenderedPageBreak/>
              <w:t>корисности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lastRenderedPageBreak/>
              <w:t>1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</w:tr>
      <w:tr w:rsidR="00D5712C" w:rsidRPr="002B2C4A" w:rsidTr="00A17E5A">
        <w:trPr>
          <w:trHeight w:val="557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lastRenderedPageBreak/>
              <w:t>13.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Инструмент за утврђивање димног броја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5</w:t>
            </w:r>
          </w:p>
        </w:tc>
      </w:tr>
      <w:tr w:rsidR="00D5712C" w:rsidRPr="002B2C4A" w:rsidTr="00A17E5A">
        <w:trPr>
          <w:trHeight w:val="1378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lang w:val="sr-Cyrl-CS"/>
              </w:rPr>
              <w:t>14.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lang w:val="sr-Cyrl-CS"/>
              </w:rPr>
              <w:t>Рачунар са програмом за вођење евиденције о димоводним системима и ложишним уређајима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</w:tr>
      <w:tr w:rsidR="00D5712C" w:rsidRPr="002B2C4A" w:rsidTr="00A17E5A">
        <w:trPr>
          <w:trHeight w:val="1378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lang w:val="sr-Cyrl-CS"/>
              </w:rPr>
              <w:t>15.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lang w:val="sr-Cyrl-CS"/>
              </w:rPr>
              <w:t>Рачунар са програмом за вођење евиденције о вентилационим каналима и уређајима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</w:tr>
      <w:tr w:rsidR="00D5712C" w:rsidRPr="002B2C4A" w:rsidTr="00A17E5A">
        <w:trPr>
          <w:trHeight w:val="1378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16.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Возило за транспорт радника и алата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264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12+1 возило на сваких додатних 10.000 корисника</w:t>
            </w:r>
          </w:p>
        </w:tc>
      </w:tr>
      <w:tr w:rsidR="00D5712C" w:rsidRPr="002B2C4A" w:rsidTr="00A17E5A">
        <w:trPr>
          <w:trHeight w:val="1378"/>
        </w:trPr>
        <w:tc>
          <w:tcPr>
            <w:tcW w:w="610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17.</w:t>
            </w:r>
          </w:p>
        </w:tc>
        <w:tc>
          <w:tcPr>
            <w:tcW w:w="1778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 xml:space="preserve">Површина пословног простора у </w:t>
            </w:r>
            <w:r w:rsidRPr="002B2C4A">
              <w:rPr>
                <w:rFonts w:ascii="Times New Roman" w:eastAsia="Times New Roman" w:hAnsi="Times New Roman" w:cs="Times New Roman"/>
                <w:lang w:val="sr-Cyrl-CS"/>
              </w:rPr>
              <w:t>m</w:t>
            </w:r>
            <w:r w:rsidRPr="002B2C4A">
              <w:rPr>
                <w:rFonts w:ascii="Times New Roman" w:eastAsia="Times New Roman" w:hAnsi="Times New Roman" w:cs="Times New Roman"/>
                <w:vertAlign w:val="superscript"/>
                <w:lang w:val="sr-Cyrl-CS"/>
              </w:rPr>
              <w:t>2</w:t>
            </w:r>
          </w:p>
        </w:tc>
        <w:tc>
          <w:tcPr>
            <w:tcW w:w="962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20</w:t>
            </w:r>
          </w:p>
        </w:tc>
        <w:tc>
          <w:tcPr>
            <w:tcW w:w="1043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30</w:t>
            </w:r>
          </w:p>
        </w:tc>
        <w:tc>
          <w:tcPr>
            <w:tcW w:w="1085" w:type="dxa"/>
            <w:vAlign w:val="center"/>
          </w:tcPr>
          <w:p w:rsidR="00D5712C" w:rsidRPr="002B2C4A" w:rsidRDefault="00D5712C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40</w:t>
            </w:r>
          </w:p>
        </w:tc>
        <w:tc>
          <w:tcPr>
            <w:tcW w:w="1264" w:type="dxa"/>
            <w:vAlign w:val="center"/>
          </w:tcPr>
          <w:p w:rsidR="00D5712C" w:rsidRPr="002B2C4A" w:rsidRDefault="00E4017F" w:rsidP="00A17E5A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40+3m</w:t>
            </w:r>
            <w:r>
              <w:rPr>
                <w:rFonts w:ascii="Times New Roman" w:hAnsi="Times New Roman" w:cs="Times New Roman"/>
                <w:vertAlign w:val="superscript"/>
                <w:lang w:val="sr-Cyrl-CS"/>
              </w:rPr>
              <w:t>2</w:t>
            </w:r>
            <w:r w:rsidR="00D5712C" w:rsidRPr="002B2C4A">
              <w:rPr>
                <w:rFonts w:ascii="Times New Roman" w:hAnsi="Times New Roman" w:cs="Times New Roman"/>
                <w:lang w:val="sr-Cyrl-CS"/>
              </w:rPr>
              <w:t xml:space="preserve"> на сваких додатних 3.000 корисника</w:t>
            </w:r>
          </w:p>
        </w:tc>
        <w:tc>
          <w:tcPr>
            <w:tcW w:w="1383" w:type="dxa"/>
            <w:vAlign w:val="center"/>
          </w:tcPr>
          <w:p w:rsidR="00D5712C" w:rsidRPr="002B2C4A" w:rsidRDefault="00D5712C" w:rsidP="00E4017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70+3m</w:t>
            </w:r>
            <w:r w:rsidR="00E4017F">
              <w:rPr>
                <w:rFonts w:ascii="Times New Roman" w:hAnsi="Times New Roman" w:cs="Times New Roman"/>
                <w:vertAlign w:val="superscript"/>
                <w:lang w:val="sr-Cyrl-CS"/>
              </w:rPr>
              <w:t>2</w:t>
            </w:r>
            <w:r w:rsidRPr="002B2C4A">
              <w:rPr>
                <w:rFonts w:ascii="Times New Roman" w:hAnsi="Times New Roman" w:cs="Times New Roman"/>
                <w:lang w:val="sr-Cyrl-CS"/>
              </w:rPr>
              <w:t xml:space="preserve"> на сваких додатних 2.000 корисника</w:t>
            </w:r>
          </w:p>
        </w:tc>
        <w:tc>
          <w:tcPr>
            <w:tcW w:w="1468" w:type="dxa"/>
            <w:vAlign w:val="center"/>
          </w:tcPr>
          <w:p w:rsidR="00D5712C" w:rsidRPr="002B2C4A" w:rsidRDefault="00D5712C" w:rsidP="00E4017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2B2C4A">
              <w:rPr>
                <w:rFonts w:ascii="Times New Roman" w:hAnsi="Times New Roman" w:cs="Times New Roman"/>
                <w:lang w:val="sr-Cyrl-CS"/>
              </w:rPr>
              <w:t>115+3m</w:t>
            </w:r>
            <w:r w:rsidR="00E4017F">
              <w:rPr>
                <w:rFonts w:ascii="Times New Roman" w:hAnsi="Times New Roman" w:cs="Times New Roman"/>
                <w:vertAlign w:val="superscript"/>
                <w:lang w:val="sr-Cyrl-CS"/>
              </w:rPr>
              <w:t>2</w:t>
            </w:r>
            <w:r w:rsidRPr="002B2C4A">
              <w:rPr>
                <w:rFonts w:ascii="Times New Roman" w:hAnsi="Times New Roman" w:cs="Times New Roman"/>
                <w:lang w:val="sr-Cyrl-CS"/>
              </w:rPr>
              <w:t xml:space="preserve"> на сваких додатних 2.000 корисника</w:t>
            </w:r>
          </w:p>
        </w:tc>
      </w:tr>
    </w:tbl>
    <w:p w:rsidR="00CA5C1C" w:rsidRPr="002B2C4A" w:rsidRDefault="00CA5C1C" w:rsidP="00A705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Под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комплетом основног димничарског алата и опреме у смислу ове уредбе подразумева се: д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имничарска легитимација, димничарска сајла (штосер), ручна четка, продорна сајла (ђилда), кугла на канапу, водилица, шиљасти пробијач, метална канта и лопатица, мердевине, мали усисивач за ложишта у домаћинствима, димничарске четке различитих димензија, бушилица са наставцима, димничарско огледало, димничарска торбица, батеријска лампа, димничарски кључеви, ситан ручни алат, уређај за очитавање </w:t>
      </w:r>
      <w:r w:rsidR="007D4639">
        <w:rPr>
          <w:rFonts w:ascii="Times New Roman" w:eastAsia="Times New Roman" w:hAnsi="Times New Roman" w:cs="Times New Roman"/>
          <w:sz w:val="24"/>
          <w:szCs w:val="24"/>
          <w:lang w:val="sr-Cyrl-CS"/>
        </w:rPr>
        <w:t>угљенмоноксида</w:t>
      </w:r>
      <w:r w:rsidR="00B1347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просторији</w:t>
      </w:r>
      <w:r w:rsidR="007D463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и ендоскопска камера за дијагностику стања вентилационих канала и уређаја.</w:t>
      </w:r>
    </w:p>
    <w:p w:rsidR="00516345" w:rsidRPr="00B1347C" w:rsidRDefault="00516345" w:rsidP="00CA5C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4"/>
          <w:lang w:val="sr-Cyrl-CS"/>
        </w:rPr>
      </w:pPr>
    </w:p>
    <w:p w:rsidR="00516345" w:rsidRPr="00B1347C" w:rsidRDefault="00516345" w:rsidP="00CA5C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4"/>
          <w:lang w:val="sr-Cyrl-CS"/>
        </w:rPr>
      </w:pPr>
    </w:p>
    <w:p w:rsidR="00516345" w:rsidRPr="00B1347C" w:rsidRDefault="00516345" w:rsidP="00CA5C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4"/>
          <w:lang w:val="sr-Cyrl-CS"/>
        </w:rPr>
      </w:pPr>
    </w:p>
    <w:p w:rsidR="00516345" w:rsidRPr="00B1347C" w:rsidRDefault="00516345" w:rsidP="00CA5C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4"/>
          <w:lang w:val="sr-Cyrl-CS"/>
        </w:rPr>
      </w:pPr>
    </w:p>
    <w:p w:rsidR="00CA5C1C" w:rsidRPr="00B1347C" w:rsidRDefault="00CA5C1C" w:rsidP="00CA5C1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17.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Подносилац</w:t>
      </w:r>
      <w:r w:rsidR="00A70509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 за проверу </w:t>
      </w:r>
      <w:r w:rsidR="00A70509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 димничарске услуге мора да има полису осигурања из комуналне делатности у износу од: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1) 3.000.000</w:t>
      </w:r>
      <w:r w:rsidR="00134889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динара (три милиона динара) до 30.000 </w:t>
      </w:r>
      <w:r w:rsidR="00134889" w:rsidRPr="002B2C4A">
        <w:rPr>
          <w:rFonts w:ascii="Times New Roman" w:hAnsi="Times New Roman" w:cs="Times New Roman"/>
          <w:sz w:val="24"/>
          <w:szCs w:val="24"/>
          <w:lang w:val="sr-Cyrl-CS"/>
        </w:rPr>
        <w:t>корисника;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2) 10.000.000 динара (десет милиона динара) преко 30.000 корисника.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Рок за акредитовање лабораторије за испитивање непропусности димоводних система је шест месеци од почетка обављања комуналне делатности димничарске услуге. </w:t>
      </w:r>
    </w:p>
    <w:p w:rsidR="007230A2" w:rsidRPr="002B2C4A" w:rsidRDefault="007230A2" w:rsidP="0013488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Члан 18.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Димничар мора да има димничарску легитимацију коју је дужан да покаже кориснику комуналне услуге пре започињања обављања послова.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Димничарску легитимацију издаје вршилац комуналне делатности димничарске услуге.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Димничар у смислу ове уредбе је лице са средњим димничарским образовањем или лице са основним или средњим образовањем </w:t>
      </w:r>
      <w:r w:rsidRPr="002B2C4A">
        <w:rPr>
          <w:rStyle w:val="Emphasis"/>
          <w:rFonts w:ascii="Times New Roman" w:hAnsi="Times New Roman" w:cs="Times New Roman"/>
          <w:i w:val="0"/>
          <w:iCs w:val="0"/>
          <w:sz w:val="24"/>
          <w:szCs w:val="24"/>
          <w:lang w:val="sr-Cyrl-CS"/>
        </w:rPr>
        <w:t>у трогодишњем или четворогодишњем трајању</w:t>
      </w:r>
      <w:r w:rsidRPr="002B2C4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додатном радном обуком на радном месту где се обављају послови димничара у привредном друштву које се бави димничарском делатности у трајању од најмање једне године.</w:t>
      </w:r>
    </w:p>
    <w:p w:rsidR="00CA5C1C" w:rsidRPr="002B2C4A" w:rsidRDefault="00CA5C1C" w:rsidP="00CA5C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Минимални услови које морају да испуне вршиоци комунал</w:t>
      </w:r>
      <w:r w:rsidR="006B7D24" w:rsidRPr="002B2C4A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их делатности за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 делатност зоохигијене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Члан 19.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left="7" w:right="21" w:firstLine="713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>Подносилац захтева</w:t>
      </w:r>
      <w:r w:rsidR="00752A2F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за проверу </w:t>
      </w:r>
      <w:r w:rsidR="00752A2F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испуњености услова за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зоохигијене у погледу стручне оспособљености кадрова мора да има најмање:</w:t>
      </w:r>
    </w:p>
    <w:p w:rsidR="00CA5C1C" w:rsidRPr="002B2C4A" w:rsidRDefault="00CA5C1C" w:rsidP="00CA5C1C">
      <w:pPr>
        <w:spacing w:after="0" w:line="240" w:lineRule="auto"/>
        <w:ind w:left="7" w:right="21" w:firstLine="1547"/>
        <w:jc w:val="both"/>
        <w:rPr>
          <w:rFonts w:ascii="Times New Roman" w:eastAsia="Times New Roman" w:hAnsi="Times New Roman" w:cs="Times New Roman"/>
          <w:lang w:val="sr-Cyrl-CS"/>
        </w:rPr>
      </w:pPr>
    </w:p>
    <w:tbl>
      <w:tblPr>
        <w:tblStyle w:val="TableGrid20"/>
        <w:tblW w:w="9437" w:type="dxa"/>
        <w:jc w:val="center"/>
        <w:tblInd w:w="0" w:type="dxa"/>
        <w:tblCellMar>
          <w:top w:w="48" w:type="dxa"/>
          <w:left w:w="101" w:type="dxa"/>
          <w:right w:w="98" w:type="dxa"/>
        </w:tblCellMar>
        <w:tblLook w:val="04A0"/>
      </w:tblPr>
      <w:tblGrid>
        <w:gridCol w:w="636"/>
        <w:gridCol w:w="2805"/>
        <w:gridCol w:w="1418"/>
        <w:gridCol w:w="4562"/>
        <w:gridCol w:w="16"/>
      </w:tblGrid>
      <w:tr w:rsidR="00CA5C1C" w:rsidRPr="002B2C4A" w:rsidTr="00F12D84">
        <w:trPr>
          <w:trHeight w:val="635"/>
          <w:jc w:val="center"/>
        </w:trPr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C1C" w:rsidRPr="002B2C4A" w:rsidRDefault="00CA5C1C" w:rsidP="00F12D84">
            <w:pPr>
              <w:spacing w:after="0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Ред.</w:t>
            </w:r>
          </w:p>
          <w:p w:rsidR="00CA5C1C" w:rsidRPr="002B2C4A" w:rsidRDefault="00CA5C1C" w:rsidP="00F12D84">
            <w:pPr>
              <w:spacing w:after="0" w:line="240" w:lineRule="auto"/>
              <w:ind w:left="6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C1C" w:rsidRPr="002B2C4A" w:rsidRDefault="00CA5C1C" w:rsidP="00A17E5A">
            <w:pPr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Стручна оспособљеност кадрова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C1C" w:rsidRPr="002B2C4A" w:rsidRDefault="00CA5C1C" w:rsidP="00A17E5A">
            <w:pPr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запослених</w:t>
            </w:r>
          </w:p>
        </w:tc>
        <w:tc>
          <w:tcPr>
            <w:tcW w:w="45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Образовање</w:t>
            </w:r>
          </w:p>
        </w:tc>
      </w:tr>
      <w:tr w:rsidR="00CA5C1C" w:rsidRPr="002B2C4A" w:rsidTr="00F12D84">
        <w:trPr>
          <w:trHeight w:val="3208"/>
          <w:jc w:val="center"/>
        </w:trPr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C1C" w:rsidRPr="002B2C4A" w:rsidRDefault="00CA5C1C" w:rsidP="00A17E5A">
            <w:pPr>
              <w:ind w:lef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 вет./Спец. др вет./ Струк. вет./Спец. струк. вет./Струк. маст. вет - високо образовање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C1C" w:rsidRPr="002B2C4A" w:rsidRDefault="00CA5C1C" w:rsidP="00A17E5A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45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C1C" w:rsidRPr="00F12D84" w:rsidRDefault="00CA5C1C" w:rsidP="00A17E5A">
            <w:pPr>
              <w:pStyle w:val="NormalWeb"/>
              <w:spacing w:after="0"/>
              <w:jc w:val="both"/>
              <w:rPr>
                <w:sz w:val="23"/>
                <w:szCs w:val="23"/>
                <w:lang w:val="sr-Cyrl-CS"/>
              </w:rPr>
            </w:pPr>
            <w:r w:rsidRPr="00F12D84">
              <w:rPr>
                <w:sz w:val="23"/>
                <w:szCs w:val="23"/>
                <w:lang w:val="sr-Cyrl-CS"/>
              </w:rPr>
              <w:t>Стечено високо образовање из научне области ветеринарске науке на интегрисаним академским студијама, специјалистичким академским студијама, специјалистичким струковним студијама, мастер струковним студијама, односно на основним студијама у трајању од најмање четири године или специјалистичким студијама на факултету и додатну радну обуку на радном месту за поступање са животињама, односно за поступање са споредним производима животињског пор</w:t>
            </w:r>
            <w:r w:rsidR="00134889" w:rsidRPr="00F12D84">
              <w:rPr>
                <w:sz w:val="23"/>
                <w:szCs w:val="23"/>
                <w:lang w:val="sr-Cyrl-CS"/>
              </w:rPr>
              <w:t>екла.</w:t>
            </w:r>
          </w:p>
        </w:tc>
      </w:tr>
      <w:tr w:rsidR="00CA5C1C" w:rsidRPr="002B2C4A" w:rsidTr="00F12D84">
        <w:tblPrEx>
          <w:tblCellMar>
            <w:top w:w="38" w:type="dxa"/>
          </w:tblCellMar>
        </w:tblPrEx>
        <w:trPr>
          <w:gridAfter w:val="1"/>
          <w:wAfter w:w="16" w:type="dxa"/>
          <w:trHeight w:val="1154"/>
          <w:jc w:val="center"/>
        </w:trPr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C1C" w:rsidRPr="002B2C4A" w:rsidRDefault="00CA5C1C" w:rsidP="00A17E5A">
            <w:pPr>
              <w:ind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C1C" w:rsidRPr="002B2C4A" w:rsidRDefault="00CA5C1C" w:rsidP="00A17E5A">
            <w:pPr>
              <w:ind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Средње образовање - ветеринарски</w:t>
            </w:r>
          </w:p>
          <w:p w:rsidR="00CA5C1C" w:rsidRPr="002B2C4A" w:rsidRDefault="00CA5C1C" w:rsidP="00A17E5A">
            <w:pPr>
              <w:ind w:righ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техничар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C1C" w:rsidRPr="002B2C4A" w:rsidRDefault="00CA5C1C" w:rsidP="00A17E5A">
            <w:pPr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C1C" w:rsidRPr="002B2C4A" w:rsidRDefault="00CA5C1C" w:rsidP="00A17E5A">
            <w:pPr>
              <w:ind w:right="14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Стечено средње образовање у четворогодишњем трајању и додатну радну обуку на радном месту за поступање са животињама, односно за поступање са споредним производима животињског порекла.</w:t>
            </w:r>
          </w:p>
        </w:tc>
      </w:tr>
      <w:tr w:rsidR="00CA5C1C" w:rsidRPr="002B2C4A" w:rsidTr="00F12D84">
        <w:tblPrEx>
          <w:tblCellMar>
            <w:top w:w="38" w:type="dxa"/>
          </w:tblCellMar>
        </w:tblPrEx>
        <w:trPr>
          <w:gridAfter w:val="1"/>
          <w:wAfter w:w="16" w:type="dxa"/>
          <w:trHeight w:val="1156"/>
          <w:jc w:val="center"/>
        </w:trPr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C1C" w:rsidRPr="002B2C4A" w:rsidRDefault="00CA5C1C" w:rsidP="00A17E5A">
            <w:pPr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C1C" w:rsidRPr="002B2C4A" w:rsidRDefault="00CA5C1C" w:rsidP="00A17E5A">
            <w:pPr>
              <w:ind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Средње образовање</w:t>
            </w:r>
          </w:p>
          <w:p w:rsidR="00CA5C1C" w:rsidRPr="002B2C4A" w:rsidRDefault="00CA5C1C" w:rsidP="00A17E5A">
            <w:pPr>
              <w:ind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 трогодишњем или четворогодишњем трајању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C1C" w:rsidRPr="002B2C4A" w:rsidRDefault="00CA5C1C" w:rsidP="00A17E5A">
            <w:pPr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C1C" w:rsidRPr="002B2C4A" w:rsidRDefault="00CA5C1C" w:rsidP="00A17E5A">
            <w:pPr>
              <w:ind w:left="7" w:right="7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Стечено средње образовање у трогодишњем или четворогодишњем трајању и додатну радну обуку на радном месту за поступање са животињама, односно за поступање са споредним производима животињског порекла.</w:t>
            </w:r>
          </w:p>
        </w:tc>
      </w:tr>
      <w:tr w:rsidR="00CA5C1C" w:rsidRPr="002B2C4A" w:rsidTr="00F12D84">
        <w:tblPrEx>
          <w:tblCellMar>
            <w:top w:w="38" w:type="dxa"/>
          </w:tblCellMar>
        </w:tblPrEx>
        <w:trPr>
          <w:gridAfter w:val="1"/>
          <w:wAfter w:w="16" w:type="dxa"/>
          <w:trHeight w:val="1151"/>
          <w:jc w:val="center"/>
        </w:trPr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C1C" w:rsidRPr="002B2C4A" w:rsidRDefault="00CA5C1C" w:rsidP="00A17E5A">
            <w:pPr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C1C" w:rsidRPr="002B2C4A" w:rsidRDefault="00CA5C1C" w:rsidP="00A17E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Основно образовање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C1C" w:rsidRPr="002B2C4A" w:rsidRDefault="00CA5C1C" w:rsidP="00A17E5A">
            <w:pPr>
              <w:ind w:lef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4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C1C" w:rsidRPr="002B2C4A" w:rsidRDefault="00CA5C1C" w:rsidP="00A17E5A">
            <w:pPr>
              <w:ind w:lef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B2C4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Основно образовање и додатну радну обуку на радном месту за поступање са животињама, односно за поступање са споредним производима животињског порекла.</w:t>
            </w:r>
          </w:p>
        </w:tc>
      </w:tr>
    </w:tbl>
    <w:p w:rsidR="00CA5C1C" w:rsidRPr="002B2C4A" w:rsidRDefault="00CA5C1C" w:rsidP="00CA5C1C">
      <w:pPr>
        <w:spacing w:after="0" w:line="240" w:lineRule="auto"/>
        <w:ind w:right="43" w:firstLine="683"/>
        <w:jc w:val="both"/>
        <w:rPr>
          <w:rFonts w:ascii="Times New Roman" w:eastAsia="Times New Roman" w:hAnsi="Times New Roman" w:cs="Times New Roman"/>
          <w:sz w:val="20"/>
          <w:lang w:val="sr-Cyrl-CS"/>
        </w:rPr>
      </w:pPr>
    </w:p>
    <w:p w:rsidR="00CA5C1C" w:rsidRPr="002B2C4A" w:rsidRDefault="00CA5C1C" w:rsidP="00CA5C1C">
      <w:pPr>
        <w:tabs>
          <w:tab w:val="left" w:pos="9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Додатна радна обука за поступање са животињама, односно за поступање са споредним производима животињског порекла, у смислу ове уредбе, јесте радна обука на радном месту где се обављају послови комуналне делатности зоохигијене, у трајању од најмање шест месеци. Додатна радна обука није обавезна за лица која на радном месту обављају административне послове.</w:t>
      </w:r>
    </w:p>
    <w:p w:rsidR="00CA5C1C" w:rsidRPr="002B2C4A" w:rsidRDefault="00CA5C1C" w:rsidP="00CA5C1C">
      <w:pPr>
        <w:tabs>
          <w:tab w:val="left" w:pos="9360"/>
        </w:tabs>
        <w:spacing w:after="0" w:line="240" w:lineRule="auto"/>
        <w:ind w:right="43" w:firstLine="683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20.</w:t>
      </w:r>
    </w:p>
    <w:p w:rsidR="00560C60" w:rsidRDefault="00560C60" w:rsidP="00560C60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0C60" w:rsidRDefault="0031056C" w:rsidP="00560C60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захтева за проверу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испуњености услова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5C1C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CA5C1C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отпочињање обављања</w:t>
      </w:r>
      <w:r w:rsidR="00560C6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60C60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комуналне </w:t>
      </w:r>
      <w:r w:rsidR="00560C60"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</w:t>
      </w:r>
      <w:r w:rsidR="00560C60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зоохигијене на територији јединице локалне самоуправе, уз захтев доставља и:</w:t>
      </w:r>
    </w:p>
    <w:p w:rsidR="00560C60" w:rsidRDefault="00560C60" w:rsidP="00560C60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60C60" w:rsidRDefault="00560C60" w:rsidP="00560C60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1) доказ о власништву прихватилишта за напуштене животиње које се налази на територији те јединице локалне самоуправе или на територији суседне локалне самоуправе, која искључиво припада истом епизоотиолошком подручју или</w:t>
      </w:r>
    </w:p>
    <w:p w:rsidR="00560C60" w:rsidRDefault="00560C60" w:rsidP="00560C60">
      <w:pPr>
        <w:tabs>
          <w:tab w:val="left" w:pos="93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2) уговор о збрињавању ухваћених, напуштених и изгубљених животиња са прихватилиштем за напуштене животиње које се налази на тој територији јединице локалне самоуправе или на територији суседне локалне самоуправе, која искључиво припада истом епизоотиолошком подручју.</w:t>
      </w:r>
    </w:p>
    <w:p w:rsidR="00560C60" w:rsidRPr="002B2C4A" w:rsidRDefault="00560C60" w:rsidP="00560C60">
      <w:pPr>
        <w:spacing w:after="0" w:line="240" w:lineRule="auto"/>
        <w:ind w:firstLine="713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Збрињавање ухваћених, напуштених и изгубљених животиња спроводи </w:t>
      </w:r>
      <w:r w:rsidRPr="002B2C4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69" cy="4568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2" name="Picture 48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се према програму контроле и смањења популације напуштених паса и мачака надлежног ограна јединице локалне самоуправе.</w:t>
      </w:r>
      <w:r w:rsidRPr="002B2C4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68" cy="4568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5" name="Picture 481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8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C1C" w:rsidRPr="002B2C4A" w:rsidRDefault="00CA5C1C" w:rsidP="00CA5C1C">
      <w:pPr>
        <w:spacing w:after="0" w:line="240" w:lineRule="auto"/>
        <w:ind w:firstLine="676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Прихватилиште за напуштене животиње мора да буде одговарајућег капацитета у складу са програмом из става 2. овог члана и да испуњава услове у </w:t>
      </w:r>
      <w:r w:rsidRPr="002B2C4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69" cy="4568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9" name="Picture 481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погледу простора, просторија и опреме у складу са посебним прописом којим се </w:t>
      </w:r>
      <w:r w:rsidRPr="002B2C4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69" cy="4568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8" name="Picture 48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2C4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69" cy="4569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0" name="Picture 482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уређују услови које морају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да испуњавају прихватилишта и пансиони за животиње, као и да је уписано у регистар објеката, у складу са законом којим се уређује ветеринарство.</w:t>
      </w:r>
    </w:p>
    <w:p w:rsidR="00CA5C1C" w:rsidRPr="002B2C4A" w:rsidRDefault="00CA5C1C" w:rsidP="00CA5C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21.</w:t>
      </w:r>
    </w:p>
    <w:p w:rsidR="00CA5C1C" w:rsidRPr="002B2C4A" w:rsidRDefault="00CA5C1C" w:rsidP="00CA5C1C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</w:t>
      </w:r>
      <w:r w:rsidR="00901440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захтева за проверу </w:t>
      </w:r>
      <w:r w:rsidR="00901440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зоохигијене уз захтев доставља и доказ о власништву, односно уговор о закупу или лизингу, за </w:t>
      </w:r>
      <w:r w:rsidRPr="002B2C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69" cy="4568"/>
            <wp:effectExtent l="0" t="0" r="0" b="0"/>
            <wp:docPr id="4825" name="Picture 48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5" name="Picture 482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најмање једно: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возило за транспорт животиња у складу са посебним прописом којим </w:t>
      </w:r>
      <w:r w:rsidRPr="002B2C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69" cy="4568"/>
            <wp:effectExtent l="0" t="0" r="0" b="0"/>
            <wp:docPr id="4827" name="Picture 48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7" name="Picture 482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се уређују услови које морају да испуњавају прихватилишта и пансиони за животиње;</w:t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возило за вршење послова дезинфекције, дезинсекције и дератизације </w:t>
      </w:r>
      <w:r w:rsidRPr="002B2C4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69" cy="4569"/>
            <wp:effectExtent l="0" t="0" r="0" b="0"/>
            <wp:docPr id="4832" name="Picture 48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2" name="Picture 483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(ДДД), са одговарајућим монтажно/демонтажним апаратом за запрашивање комараца;</w:t>
      </w:r>
      <w:r w:rsidRPr="002B2C4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136" cy="54819"/>
            <wp:effectExtent l="0" t="0" r="0" b="0"/>
            <wp:docPr id="14148" name="Picture 14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8" name="Picture 1414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36" cy="54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C1C" w:rsidRPr="002B2C4A" w:rsidRDefault="00CA5C1C" w:rsidP="00CA5C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3) возило за транспорт споредних производа животињског порекла.</w:t>
      </w:r>
    </w:p>
    <w:p w:rsidR="00CA5C1C" w:rsidRPr="002B2C4A" w:rsidRDefault="00CA5C1C" w:rsidP="00CA5C1C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22.</w:t>
      </w:r>
    </w:p>
    <w:p w:rsidR="00CA5C1C" w:rsidRPr="002B2C4A" w:rsidRDefault="00CA5C1C" w:rsidP="00CA5C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676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</w:t>
      </w:r>
      <w:r w:rsidR="00901440"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захтева за проверу </w:t>
      </w:r>
      <w:r w:rsidR="00901440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испуњености услова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отпочињање обављања комуналне </w:t>
      </w:r>
      <w:r w:rsidRPr="002B2C4A">
        <w:rPr>
          <w:rFonts w:ascii="Times New Roman" w:hAnsi="Times New Roman" w:cs="Times New Roman"/>
          <w:sz w:val="24"/>
          <w:szCs w:val="24"/>
          <w:lang w:val="sr-Cyrl-CS"/>
        </w:rPr>
        <w:t>делатности</w:t>
      </w:r>
      <w:r w:rsid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зоохигијене за послове нешкод</w:t>
      </w:r>
      <w:r w:rsidR="002B2C4A">
        <w:rPr>
          <w:rFonts w:ascii="Times New Roman" w:eastAsia="Times New Roman" w:hAnsi="Times New Roman" w:cs="Times New Roman"/>
          <w:sz w:val="24"/>
          <w:szCs w:val="24"/>
          <w:lang/>
        </w:rPr>
        <w:t>љ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ивог уклањања и транспорта лешева животиња са јавних површина и објеката за узгој, држање, дресуру, излагање, одржавање такмичења или промет животиња до објеката за сакупљање, прераду или уништавање споредних производа животињског порекла на начин који не представља ризик по </w:t>
      </w:r>
      <w:r w:rsidR="00700D0F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животну средину</w:t>
      </w:r>
      <w:r w:rsidR="00C570AE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људе </w:t>
      </w:r>
      <w:r w:rsidR="00742710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="00700D0F"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животиње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, мора да испуњава услове прописане законом којим се уређује ветеринарство и услове прописане посебним прописом.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70AE" w:rsidRPr="002B2C4A" w:rsidRDefault="00C570AE" w:rsidP="00CA5C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Завршнa одредбa</w:t>
      </w:r>
      <w:bookmarkStart w:id="1" w:name="clan_20"/>
      <w:bookmarkEnd w:id="1"/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23</w:t>
      </w: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 уредба ступа на снагу осмог дана од дана објављивања у „Службеном гласнику Републике Србијеˮ. </w:t>
      </w:r>
    </w:p>
    <w:p w:rsidR="004223B1" w:rsidRDefault="004223B1" w:rsidP="00CA5C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223B1" w:rsidRPr="002B2C4A" w:rsidRDefault="004223B1" w:rsidP="00CA5C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A5C1C" w:rsidRPr="00BF5DAE" w:rsidRDefault="00CA5C1C" w:rsidP="00CA5C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BF5DAE">
        <w:rPr>
          <w:rFonts w:ascii="Times New Roman" w:eastAsia="Times New Roman" w:hAnsi="Times New Roman" w:cs="Times New Roman"/>
          <w:sz w:val="24"/>
          <w:szCs w:val="24"/>
          <w:lang/>
        </w:rPr>
        <w:t>110-</w:t>
      </w:r>
      <w:r w:rsidR="00CF1C67">
        <w:rPr>
          <w:rFonts w:ascii="Times New Roman" w:eastAsia="Times New Roman" w:hAnsi="Times New Roman" w:cs="Times New Roman"/>
          <w:sz w:val="24"/>
          <w:szCs w:val="24"/>
          <w:lang/>
        </w:rPr>
        <w:t>1384/2018</w:t>
      </w:r>
    </w:p>
    <w:p w:rsidR="00CA5C1C" w:rsidRPr="002B2C4A" w:rsidRDefault="00CA5C1C" w:rsidP="00CA5C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 14. фебруара 2018. године</w:t>
      </w:r>
    </w:p>
    <w:p w:rsidR="00CA5C1C" w:rsidRPr="002B2C4A" w:rsidRDefault="00CA5C1C" w:rsidP="00CA5C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:rsidR="007230A2" w:rsidRPr="002B2C4A" w:rsidRDefault="007230A2" w:rsidP="00CA5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230A2" w:rsidRPr="002B2C4A" w:rsidRDefault="007230A2" w:rsidP="00CA5C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A5C1C" w:rsidRPr="002B2C4A" w:rsidRDefault="00CA5C1C" w:rsidP="00CA5C1C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A5C1C" w:rsidRDefault="00CA5C1C" w:rsidP="00CA5C1C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2B2C4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</w:t>
      </w:r>
    </w:p>
    <w:p w:rsidR="00CF1C67" w:rsidRDefault="00CF1C67" w:rsidP="00CA5C1C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CF1C67" w:rsidRPr="00CF1C67" w:rsidRDefault="00CF1C67" w:rsidP="00CA5C1C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Ана Брнабић, с.р.</w:t>
      </w:r>
    </w:p>
    <w:p w:rsidR="00CA5C1C" w:rsidRPr="002B2C4A" w:rsidRDefault="00CA5C1C" w:rsidP="00CA5C1C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CA5C1C" w:rsidRPr="002B2C4A" w:rsidSect="00A17E5A">
      <w:footerReference w:type="default" r:id="rId12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3EF" w:rsidRDefault="00C153EF">
      <w:pPr>
        <w:spacing w:after="0" w:line="240" w:lineRule="auto"/>
      </w:pPr>
      <w:r>
        <w:separator/>
      </w:r>
    </w:p>
  </w:endnote>
  <w:endnote w:type="continuationSeparator" w:id="0">
    <w:p w:rsidR="00C153EF" w:rsidRDefault="00C15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14229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7E5A" w:rsidRDefault="00364E1A">
        <w:pPr>
          <w:pStyle w:val="Footer"/>
          <w:jc w:val="right"/>
        </w:pPr>
        <w:r>
          <w:fldChar w:fldCharType="begin"/>
        </w:r>
        <w:r w:rsidR="00A17E5A">
          <w:instrText xml:space="preserve"> PAGE   \* MERGEFORMAT </w:instrText>
        </w:r>
        <w:r>
          <w:fldChar w:fldCharType="separate"/>
        </w:r>
        <w:r w:rsidR="0095063C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A17E5A" w:rsidRDefault="00A17E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3EF" w:rsidRDefault="00C153EF">
      <w:pPr>
        <w:spacing w:after="0" w:line="240" w:lineRule="auto"/>
      </w:pPr>
      <w:r>
        <w:separator/>
      </w:r>
    </w:p>
  </w:footnote>
  <w:footnote w:type="continuationSeparator" w:id="0">
    <w:p w:rsidR="00C153EF" w:rsidRDefault="00C153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3A62"/>
    <w:multiLevelType w:val="hybridMultilevel"/>
    <w:tmpl w:val="BA18A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A6582"/>
    <w:multiLevelType w:val="hybridMultilevel"/>
    <w:tmpl w:val="7E92146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61011"/>
    <w:multiLevelType w:val="hybridMultilevel"/>
    <w:tmpl w:val="DD7EB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C84842"/>
    <w:multiLevelType w:val="hybridMultilevel"/>
    <w:tmpl w:val="47BA3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45347"/>
    <w:multiLevelType w:val="hybridMultilevel"/>
    <w:tmpl w:val="B3A66304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08248E3C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B21FB"/>
    <w:multiLevelType w:val="hybridMultilevel"/>
    <w:tmpl w:val="4B2C6DCA"/>
    <w:lvl w:ilvl="0" w:tplc="78D61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316A6B"/>
    <w:multiLevelType w:val="hybridMultilevel"/>
    <w:tmpl w:val="33743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13668"/>
    <w:multiLevelType w:val="hybridMultilevel"/>
    <w:tmpl w:val="2690D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64160"/>
    <w:multiLevelType w:val="hybridMultilevel"/>
    <w:tmpl w:val="5E263E40"/>
    <w:lvl w:ilvl="0" w:tplc="241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296CF2"/>
    <w:multiLevelType w:val="hybridMultilevel"/>
    <w:tmpl w:val="D2C6A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9322C"/>
    <w:multiLevelType w:val="hybridMultilevel"/>
    <w:tmpl w:val="4A700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24D2E"/>
    <w:multiLevelType w:val="hybridMultilevel"/>
    <w:tmpl w:val="A5D20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C12F8E"/>
    <w:multiLevelType w:val="hybridMultilevel"/>
    <w:tmpl w:val="477CD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7636C"/>
    <w:multiLevelType w:val="hybridMultilevel"/>
    <w:tmpl w:val="8E3E8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F124E1"/>
    <w:multiLevelType w:val="hybridMultilevel"/>
    <w:tmpl w:val="ECB68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CF77EA"/>
    <w:multiLevelType w:val="hybridMultilevel"/>
    <w:tmpl w:val="0EA2ACCE"/>
    <w:lvl w:ilvl="0" w:tplc="B1B85CF2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D8082982">
      <w:start w:val="1"/>
      <w:numFmt w:val="decimal"/>
      <w:lvlText w:val="(%2)"/>
      <w:lvlJc w:val="left"/>
      <w:pPr>
        <w:ind w:left="1805" w:hanging="375"/>
      </w:pPr>
      <w:rPr>
        <w:rFonts w:eastAsiaTheme="minorHAnsi" w:hint="default"/>
      </w:r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3D3B515D"/>
    <w:multiLevelType w:val="hybridMultilevel"/>
    <w:tmpl w:val="6C580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0A3DF2"/>
    <w:multiLevelType w:val="hybridMultilevel"/>
    <w:tmpl w:val="7E585900"/>
    <w:lvl w:ilvl="0" w:tplc="E26841E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765158"/>
    <w:multiLevelType w:val="hybridMultilevel"/>
    <w:tmpl w:val="221266E4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>
    <w:nsid w:val="45A45FD2"/>
    <w:multiLevelType w:val="hybridMultilevel"/>
    <w:tmpl w:val="2402DA84"/>
    <w:lvl w:ilvl="0" w:tplc="9F30A478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2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6741863"/>
    <w:multiLevelType w:val="hybridMultilevel"/>
    <w:tmpl w:val="E306E65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5702D"/>
    <w:multiLevelType w:val="hybridMultilevel"/>
    <w:tmpl w:val="B1464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5926AA"/>
    <w:multiLevelType w:val="hybridMultilevel"/>
    <w:tmpl w:val="3566D26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9B7303"/>
    <w:multiLevelType w:val="hybridMultilevel"/>
    <w:tmpl w:val="8E40C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90184E"/>
    <w:multiLevelType w:val="hybridMultilevel"/>
    <w:tmpl w:val="66AE9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02713F"/>
    <w:multiLevelType w:val="hybridMultilevel"/>
    <w:tmpl w:val="A7420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6B0D61"/>
    <w:multiLevelType w:val="hybridMultilevel"/>
    <w:tmpl w:val="9666458C"/>
    <w:lvl w:ilvl="0" w:tplc="241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05E6A48"/>
    <w:multiLevelType w:val="hybridMultilevel"/>
    <w:tmpl w:val="74964424"/>
    <w:lvl w:ilvl="0" w:tplc="13285C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0B57E7"/>
    <w:multiLevelType w:val="hybridMultilevel"/>
    <w:tmpl w:val="E90C360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F73418"/>
    <w:multiLevelType w:val="hybridMultilevel"/>
    <w:tmpl w:val="5030AFAA"/>
    <w:lvl w:ilvl="0" w:tplc="13285C9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B57E98"/>
    <w:multiLevelType w:val="hybridMultilevel"/>
    <w:tmpl w:val="853E2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605E15"/>
    <w:multiLevelType w:val="hybridMultilevel"/>
    <w:tmpl w:val="B98A9424"/>
    <w:lvl w:ilvl="0" w:tplc="B70CC9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7774B27"/>
    <w:multiLevelType w:val="hybridMultilevel"/>
    <w:tmpl w:val="368607C2"/>
    <w:lvl w:ilvl="0" w:tplc="010800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B1CE2"/>
    <w:multiLevelType w:val="hybridMultilevel"/>
    <w:tmpl w:val="1EA4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9831CC"/>
    <w:multiLevelType w:val="hybridMultilevel"/>
    <w:tmpl w:val="0090DF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493276"/>
    <w:multiLevelType w:val="hybridMultilevel"/>
    <w:tmpl w:val="7A00B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4C38AB"/>
    <w:multiLevelType w:val="hybridMultilevel"/>
    <w:tmpl w:val="852EC5DC"/>
    <w:lvl w:ilvl="0" w:tplc="009E0EDC">
      <w:start w:val="1"/>
      <w:numFmt w:val="bullet"/>
      <w:lvlText w:val="•"/>
      <w:lvlJc w:val="left"/>
      <w:pPr>
        <w:ind w:left="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021834">
      <w:start w:val="1"/>
      <w:numFmt w:val="bullet"/>
      <w:lvlText w:val="o"/>
      <w:lvlJc w:val="left"/>
      <w:pPr>
        <w:ind w:left="1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5EBA6C">
      <w:start w:val="1"/>
      <w:numFmt w:val="bullet"/>
      <w:lvlText w:val="▪"/>
      <w:lvlJc w:val="left"/>
      <w:pPr>
        <w:ind w:left="20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AE17A6">
      <w:start w:val="1"/>
      <w:numFmt w:val="bullet"/>
      <w:lvlText w:val="•"/>
      <w:lvlJc w:val="left"/>
      <w:pPr>
        <w:ind w:left="2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C6C610">
      <w:start w:val="1"/>
      <w:numFmt w:val="bullet"/>
      <w:lvlText w:val="o"/>
      <w:lvlJc w:val="left"/>
      <w:pPr>
        <w:ind w:left="34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D491C8">
      <w:start w:val="1"/>
      <w:numFmt w:val="bullet"/>
      <w:lvlText w:val="▪"/>
      <w:lvlJc w:val="left"/>
      <w:pPr>
        <w:ind w:left="4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00EBE2">
      <w:start w:val="1"/>
      <w:numFmt w:val="bullet"/>
      <w:lvlText w:val="•"/>
      <w:lvlJc w:val="left"/>
      <w:pPr>
        <w:ind w:left="4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24A066">
      <w:start w:val="1"/>
      <w:numFmt w:val="bullet"/>
      <w:lvlText w:val="o"/>
      <w:lvlJc w:val="left"/>
      <w:pPr>
        <w:ind w:left="56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D83BAC">
      <w:start w:val="1"/>
      <w:numFmt w:val="bullet"/>
      <w:lvlText w:val="▪"/>
      <w:lvlJc w:val="left"/>
      <w:pPr>
        <w:ind w:left="6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54F16C1"/>
    <w:multiLevelType w:val="hybridMultilevel"/>
    <w:tmpl w:val="7AC443B4"/>
    <w:lvl w:ilvl="0" w:tplc="EE84FD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9FB61C2"/>
    <w:multiLevelType w:val="hybridMultilevel"/>
    <w:tmpl w:val="185C0A2A"/>
    <w:lvl w:ilvl="0" w:tplc="43A6BE90">
      <w:start w:val="1"/>
      <w:numFmt w:val="decimal"/>
      <w:lvlText w:val="%1)"/>
      <w:lvlJc w:val="left"/>
      <w:pPr>
        <w:ind w:left="708" w:hanging="708"/>
      </w:pPr>
      <w:rPr>
        <w:rFonts w:ascii="Times New Roman" w:eastAsia="Times New Roman" w:hAnsi="Times New Roman" w:cs="Times New Roman"/>
      </w:rPr>
    </w:lvl>
    <w:lvl w:ilvl="1" w:tplc="281A0019">
      <w:start w:val="1"/>
      <w:numFmt w:val="lowerLetter"/>
      <w:lvlText w:val="%2."/>
      <w:lvlJc w:val="left"/>
      <w:pPr>
        <w:ind w:left="1080" w:hanging="360"/>
      </w:pPr>
    </w:lvl>
    <w:lvl w:ilvl="2" w:tplc="281A001B">
      <w:start w:val="1"/>
      <w:numFmt w:val="lowerRoman"/>
      <w:lvlText w:val="%3."/>
      <w:lvlJc w:val="right"/>
      <w:pPr>
        <w:ind w:left="1800" w:hanging="180"/>
      </w:pPr>
    </w:lvl>
    <w:lvl w:ilvl="3" w:tplc="281A000F">
      <w:start w:val="1"/>
      <w:numFmt w:val="decimal"/>
      <w:lvlText w:val="%4."/>
      <w:lvlJc w:val="left"/>
      <w:pPr>
        <w:ind w:left="2520" w:hanging="360"/>
      </w:pPr>
    </w:lvl>
    <w:lvl w:ilvl="4" w:tplc="281A0019">
      <w:start w:val="1"/>
      <w:numFmt w:val="lowerLetter"/>
      <w:lvlText w:val="%5."/>
      <w:lvlJc w:val="left"/>
      <w:pPr>
        <w:ind w:left="3240" w:hanging="360"/>
      </w:pPr>
    </w:lvl>
    <w:lvl w:ilvl="5" w:tplc="281A001B">
      <w:start w:val="1"/>
      <w:numFmt w:val="lowerRoman"/>
      <w:lvlText w:val="%6."/>
      <w:lvlJc w:val="right"/>
      <w:pPr>
        <w:ind w:left="3960" w:hanging="180"/>
      </w:pPr>
    </w:lvl>
    <w:lvl w:ilvl="6" w:tplc="281A000F">
      <w:start w:val="1"/>
      <w:numFmt w:val="decimal"/>
      <w:lvlText w:val="%7."/>
      <w:lvlJc w:val="left"/>
      <w:pPr>
        <w:ind w:left="4680" w:hanging="360"/>
      </w:pPr>
    </w:lvl>
    <w:lvl w:ilvl="7" w:tplc="281A0019">
      <w:start w:val="1"/>
      <w:numFmt w:val="lowerLetter"/>
      <w:lvlText w:val="%8."/>
      <w:lvlJc w:val="left"/>
      <w:pPr>
        <w:ind w:left="5400" w:hanging="360"/>
      </w:pPr>
    </w:lvl>
    <w:lvl w:ilvl="8" w:tplc="28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3"/>
  </w:num>
  <w:num w:numId="3">
    <w:abstractNumId w:val="29"/>
  </w:num>
  <w:num w:numId="4">
    <w:abstractNumId w:val="27"/>
  </w:num>
  <w:num w:numId="5">
    <w:abstractNumId w:val="1"/>
  </w:num>
  <w:num w:numId="6">
    <w:abstractNumId w:val="33"/>
  </w:num>
  <w:num w:numId="7">
    <w:abstractNumId w:val="23"/>
  </w:num>
  <w:num w:numId="8">
    <w:abstractNumId w:val="20"/>
  </w:num>
  <w:num w:numId="9">
    <w:abstractNumId w:val="36"/>
  </w:num>
  <w:num w:numId="10">
    <w:abstractNumId w:val="18"/>
  </w:num>
  <w:num w:numId="11">
    <w:abstractNumId w:val="2"/>
  </w:num>
  <w:num w:numId="12">
    <w:abstractNumId w:val="6"/>
  </w:num>
  <w:num w:numId="13">
    <w:abstractNumId w:val="38"/>
  </w:num>
  <w:num w:numId="14">
    <w:abstractNumId w:val="15"/>
  </w:num>
  <w:num w:numId="15">
    <w:abstractNumId w:val="5"/>
  </w:num>
  <w:num w:numId="16">
    <w:abstractNumId w:val="17"/>
  </w:num>
  <w:num w:numId="17">
    <w:abstractNumId w:val="19"/>
  </w:num>
  <w:num w:numId="18">
    <w:abstractNumId w:val="10"/>
  </w:num>
  <w:num w:numId="19">
    <w:abstractNumId w:val="14"/>
  </w:num>
  <w:num w:numId="20">
    <w:abstractNumId w:val="16"/>
  </w:num>
  <w:num w:numId="21">
    <w:abstractNumId w:val="12"/>
  </w:num>
  <w:num w:numId="22">
    <w:abstractNumId w:val="9"/>
  </w:num>
  <w:num w:numId="23">
    <w:abstractNumId w:val="0"/>
  </w:num>
  <w:num w:numId="24">
    <w:abstractNumId w:val="35"/>
  </w:num>
  <w:num w:numId="25">
    <w:abstractNumId w:val="13"/>
  </w:num>
  <w:num w:numId="26">
    <w:abstractNumId w:val="32"/>
  </w:num>
  <w:num w:numId="27">
    <w:abstractNumId w:val="7"/>
  </w:num>
  <w:num w:numId="28">
    <w:abstractNumId w:val="24"/>
  </w:num>
  <w:num w:numId="29">
    <w:abstractNumId w:val="37"/>
  </w:num>
  <w:num w:numId="30">
    <w:abstractNumId w:val="11"/>
  </w:num>
  <w:num w:numId="31">
    <w:abstractNumId w:val="21"/>
  </w:num>
  <w:num w:numId="32">
    <w:abstractNumId w:val="25"/>
  </w:num>
  <w:num w:numId="33">
    <w:abstractNumId w:val="34"/>
  </w:num>
  <w:num w:numId="34">
    <w:abstractNumId w:val="4"/>
  </w:num>
  <w:num w:numId="35">
    <w:abstractNumId w:val="22"/>
  </w:num>
  <w:num w:numId="36">
    <w:abstractNumId w:val="31"/>
  </w:num>
  <w:num w:numId="37">
    <w:abstractNumId w:val="26"/>
  </w:num>
  <w:num w:numId="38">
    <w:abstractNumId w:val="8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C1C"/>
    <w:rsid w:val="00010138"/>
    <w:rsid w:val="000160A0"/>
    <w:rsid w:val="000622C0"/>
    <w:rsid w:val="00076E94"/>
    <w:rsid w:val="000A1497"/>
    <w:rsid w:val="000E03EB"/>
    <w:rsid w:val="0011331C"/>
    <w:rsid w:val="00123682"/>
    <w:rsid w:val="00134889"/>
    <w:rsid w:val="00190265"/>
    <w:rsid w:val="001A1C85"/>
    <w:rsid w:val="001A223C"/>
    <w:rsid w:val="001C0E0D"/>
    <w:rsid w:val="001D6A5D"/>
    <w:rsid w:val="00222084"/>
    <w:rsid w:val="00271A8F"/>
    <w:rsid w:val="00295AFF"/>
    <w:rsid w:val="002B2C4A"/>
    <w:rsid w:val="002D7283"/>
    <w:rsid w:val="002E0F60"/>
    <w:rsid w:val="0031056C"/>
    <w:rsid w:val="0035107F"/>
    <w:rsid w:val="00364E1A"/>
    <w:rsid w:val="003658B7"/>
    <w:rsid w:val="00371D82"/>
    <w:rsid w:val="003D2C47"/>
    <w:rsid w:val="003D38D4"/>
    <w:rsid w:val="003E69A0"/>
    <w:rsid w:val="003F73E1"/>
    <w:rsid w:val="004223B1"/>
    <w:rsid w:val="00423F79"/>
    <w:rsid w:val="00431631"/>
    <w:rsid w:val="00516345"/>
    <w:rsid w:val="00554D0B"/>
    <w:rsid w:val="00560C60"/>
    <w:rsid w:val="005F078E"/>
    <w:rsid w:val="00615487"/>
    <w:rsid w:val="00672493"/>
    <w:rsid w:val="006750C1"/>
    <w:rsid w:val="006A5710"/>
    <w:rsid w:val="006B7D24"/>
    <w:rsid w:val="00700D0F"/>
    <w:rsid w:val="0071167C"/>
    <w:rsid w:val="00720C67"/>
    <w:rsid w:val="007230A2"/>
    <w:rsid w:val="00730B55"/>
    <w:rsid w:val="00736F9B"/>
    <w:rsid w:val="00742710"/>
    <w:rsid w:val="007436C8"/>
    <w:rsid w:val="00752A2F"/>
    <w:rsid w:val="00761E90"/>
    <w:rsid w:val="00780981"/>
    <w:rsid w:val="007937DD"/>
    <w:rsid w:val="007C7B2C"/>
    <w:rsid w:val="007D4639"/>
    <w:rsid w:val="00807F59"/>
    <w:rsid w:val="008D152E"/>
    <w:rsid w:val="00901440"/>
    <w:rsid w:val="0091591B"/>
    <w:rsid w:val="0095063C"/>
    <w:rsid w:val="009D23AC"/>
    <w:rsid w:val="009E2485"/>
    <w:rsid w:val="009E46E5"/>
    <w:rsid w:val="009F1C03"/>
    <w:rsid w:val="00A17E5A"/>
    <w:rsid w:val="00A373AD"/>
    <w:rsid w:val="00A37F25"/>
    <w:rsid w:val="00A70509"/>
    <w:rsid w:val="00A833F9"/>
    <w:rsid w:val="00A846C6"/>
    <w:rsid w:val="00AA6CE6"/>
    <w:rsid w:val="00B1347C"/>
    <w:rsid w:val="00B14452"/>
    <w:rsid w:val="00B154FA"/>
    <w:rsid w:val="00BF5DAE"/>
    <w:rsid w:val="00BF7159"/>
    <w:rsid w:val="00C121CB"/>
    <w:rsid w:val="00C153EF"/>
    <w:rsid w:val="00C55CD0"/>
    <w:rsid w:val="00C55D5D"/>
    <w:rsid w:val="00C570AE"/>
    <w:rsid w:val="00C63D7C"/>
    <w:rsid w:val="00C74E24"/>
    <w:rsid w:val="00C77E36"/>
    <w:rsid w:val="00C965A4"/>
    <w:rsid w:val="00CA5C1C"/>
    <w:rsid w:val="00CC3953"/>
    <w:rsid w:val="00CE4256"/>
    <w:rsid w:val="00CF1C67"/>
    <w:rsid w:val="00D43BDE"/>
    <w:rsid w:val="00D5712C"/>
    <w:rsid w:val="00DA5868"/>
    <w:rsid w:val="00DB2307"/>
    <w:rsid w:val="00DC0162"/>
    <w:rsid w:val="00DC5443"/>
    <w:rsid w:val="00E31F42"/>
    <w:rsid w:val="00E4017F"/>
    <w:rsid w:val="00E6724D"/>
    <w:rsid w:val="00E718C7"/>
    <w:rsid w:val="00E9519F"/>
    <w:rsid w:val="00E9677A"/>
    <w:rsid w:val="00EE004C"/>
    <w:rsid w:val="00EE3636"/>
    <w:rsid w:val="00EE3831"/>
    <w:rsid w:val="00F06AEF"/>
    <w:rsid w:val="00F12D84"/>
    <w:rsid w:val="00F83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C1C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5C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A5C1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A5C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5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C1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CA5C1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CA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CA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Normal"/>
    <w:rsid w:val="00CA5C1C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NoSpacing">
    <w:name w:val="No Spacing"/>
    <w:uiPriority w:val="1"/>
    <w:qFormat/>
    <w:rsid w:val="00CA5C1C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CA5C1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A5C1C"/>
    <w:rPr>
      <w:rFonts w:ascii="Consolas" w:hAnsi="Consolas"/>
      <w:sz w:val="20"/>
      <w:szCs w:val="20"/>
    </w:rPr>
  </w:style>
  <w:style w:type="character" w:customStyle="1" w:styleId="rvts3">
    <w:name w:val="rvts3"/>
    <w:rsid w:val="00CA5C1C"/>
    <w:rPr>
      <w:b w:val="0"/>
      <w:bCs w:val="0"/>
      <w:color w:val="000000"/>
      <w:sz w:val="20"/>
      <w:szCs w:val="20"/>
    </w:rPr>
  </w:style>
  <w:style w:type="paragraph" w:customStyle="1" w:styleId="tb-na16">
    <w:name w:val="tb-na16"/>
    <w:basedOn w:val="Normal"/>
    <w:rsid w:val="00CA5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table" w:customStyle="1" w:styleId="TableGrid0">
    <w:name w:val="TableGrid"/>
    <w:rsid w:val="00CA5C1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CA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lan">
    <w:name w:val="clan"/>
    <w:basedOn w:val="Normal"/>
    <w:rsid w:val="00CA5C1C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2">
    <w:name w:val="Normal2"/>
    <w:basedOn w:val="Normal"/>
    <w:rsid w:val="00CA5C1C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table" w:customStyle="1" w:styleId="TableGrid3">
    <w:name w:val="Table Grid3"/>
    <w:basedOn w:val="TableNormal"/>
    <w:next w:val="TableGrid"/>
    <w:uiPriority w:val="39"/>
    <w:rsid w:val="00CA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Grid1"/>
    <w:rsid w:val="00CA5C1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A5C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5C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5C1C"/>
    <w:rPr>
      <w:sz w:val="20"/>
      <w:szCs w:val="20"/>
    </w:rPr>
  </w:style>
  <w:style w:type="character" w:styleId="Emphasis">
    <w:name w:val="Emphasis"/>
    <w:basedOn w:val="DefaultParagraphFont"/>
    <w:uiPriority w:val="20"/>
    <w:qFormat/>
    <w:rsid w:val="00CA5C1C"/>
    <w:rPr>
      <w:i/>
      <w:iCs/>
    </w:rPr>
  </w:style>
  <w:style w:type="paragraph" w:customStyle="1" w:styleId="Char">
    <w:name w:val="Char"/>
    <w:basedOn w:val="Normal"/>
    <w:rsid w:val="00CA5C1C"/>
    <w:pPr>
      <w:spacing w:line="240" w:lineRule="exact"/>
    </w:pPr>
    <w:rPr>
      <w:rFonts w:ascii="Tahoma" w:eastAsia="Times New Roman" w:hAnsi="Tahoma" w:cs="Times New Roman"/>
      <w:sz w:val="20"/>
      <w:szCs w:val="20"/>
    </w:rPr>
  </w:style>
  <w:style w:type="table" w:customStyle="1" w:styleId="TableGrid4">
    <w:name w:val="Table Grid4"/>
    <w:basedOn w:val="TableNormal"/>
    <w:next w:val="TableGrid"/>
    <w:uiPriority w:val="39"/>
    <w:rsid w:val="00CA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C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C1C"/>
    <w:rPr>
      <w:b/>
      <w:bCs/>
      <w:sz w:val="20"/>
      <w:szCs w:val="20"/>
    </w:rPr>
  </w:style>
  <w:style w:type="table" w:customStyle="1" w:styleId="TableGrid5">
    <w:name w:val="Table Grid5"/>
    <w:basedOn w:val="TableNormal"/>
    <w:next w:val="TableGrid"/>
    <w:uiPriority w:val="39"/>
    <w:rsid w:val="00CA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39"/>
    <w:rsid w:val="00CA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CA5C1C"/>
    <w:pPr>
      <w:spacing w:after="0" w:line="240" w:lineRule="auto"/>
    </w:pPr>
  </w:style>
  <w:style w:type="table" w:customStyle="1" w:styleId="TableGrid21">
    <w:name w:val="Table Grid21"/>
    <w:basedOn w:val="TableNormal"/>
    <w:next w:val="TableGrid"/>
    <w:uiPriority w:val="39"/>
    <w:rsid w:val="00CA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TableNormal"/>
    <w:next w:val="TableGrid"/>
    <w:uiPriority w:val="39"/>
    <w:rsid w:val="00CA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">
    <w:name w:val="Table Grid23"/>
    <w:basedOn w:val="TableNormal"/>
    <w:next w:val="TableGrid"/>
    <w:uiPriority w:val="39"/>
    <w:rsid w:val="00CA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39"/>
    <w:rsid w:val="00CA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39"/>
    <w:rsid w:val="00CA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CA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39"/>
    <w:rsid w:val="00CA5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">
    <w:name w:val="TableGrid2"/>
    <w:rsid w:val="00CA5C1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5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C1C"/>
  </w:style>
  <w:style w:type="paragraph" w:styleId="Footer">
    <w:name w:val="footer"/>
    <w:basedOn w:val="Normal"/>
    <w:link w:val="FooterChar"/>
    <w:uiPriority w:val="99"/>
    <w:unhideWhenUsed/>
    <w:rsid w:val="00CA5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C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3389</Words>
  <Characters>19319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jovan</cp:lastModifiedBy>
  <cp:revision>2</cp:revision>
  <cp:lastPrinted>2018-02-14T12:27:00Z</cp:lastPrinted>
  <dcterms:created xsi:type="dcterms:W3CDTF">2018-02-14T13:34:00Z</dcterms:created>
  <dcterms:modified xsi:type="dcterms:W3CDTF">2018-02-14T13:34:00Z</dcterms:modified>
</cp:coreProperties>
</file>